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b/>
          <w:sz w:val="44"/>
          <w:szCs w:val="44"/>
        </w:rPr>
      </w:pPr>
      <w:bookmarkStart w:id="73" w:name="_GoBack"/>
      <w:bookmarkEnd w:id="73"/>
    </w:p>
    <w:p>
      <w:pPr>
        <w:spacing w:line="480" w:lineRule="auto"/>
        <w:rPr>
          <w:b/>
          <w:sz w:val="40"/>
          <w:szCs w:val="40"/>
        </w:rPr>
      </w:pPr>
    </w:p>
    <w:p>
      <w:pPr>
        <w:spacing w:line="480" w:lineRule="auto"/>
        <w:jc w:val="center"/>
        <w:rPr>
          <w:b/>
          <w:sz w:val="52"/>
          <w:szCs w:val="52"/>
        </w:rPr>
      </w:pPr>
      <w:r>
        <w:rPr>
          <w:rFonts w:hint="eastAsia"/>
          <w:b/>
          <w:sz w:val="44"/>
          <w:szCs w:val="44"/>
        </w:rPr>
        <w:t>峨眉山宏昇药业股份有限公司</w:t>
      </w:r>
    </w:p>
    <w:p>
      <w:pPr>
        <w:spacing w:line="480" w:lineRule="auto"/>
        <w:jc w:val="center"/>
        <w:rPr>
          <w:b/>
          <w:sz w:val="52"/>
          <w:szCs w:val="52"/>
        </w:rPr>
      </w:pPr>
    </w:p>
    <w:p>
      <w:pPr>
        <w:spacing w:line="480" w:lineRule="auto"/>
        <w:jc w:val="center"/>
        <w:rPr>
          <w:b/>
          <w:sz w:val="52"/>
          <w:szCs w:val="52"/>
        </w:rPr>
      </w:pPr>
    </w:p>
    <w:p>
      <w:pPr>
        <w:jc w:val="center"/>
        <w:rPr>
          <w:b/>
          <w:sz w:val="44"/>
          <w:szCs w:val="44"/>
        </w:rPr>
      </w:pPr>
      <w:r>
        <w:rPr>
          <w:rFonts w:hint="eastAsia"/>
          <w:b/>
          <w:sz w:val="72"/>
          <w:szCs w:val="72"/>
        </w:rPr>
        <w:t>土壤环境自行监测方案</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bookmarkStart w:id="0" w:name="OLE_LINK2"/>
    </w:p>
    <w:p>
      <w:pPr>
        <w:spacing w:line="360" w:lineRule="auto"/>
        <w:rPr>
          <w:b/>
          <w:sz w:val="32"/>
          <w:szCs w:val="32"/>
        </w:rPr>
      </w:pPr>
    </w:p>
    <w:p>
      <w:pPr>
        <w:spacing w:line="360" w:lineRule="auto"/>
        <w:jc w:val="center"/>
        <w:rPr>
          <w:b/>
          <w:sz w:val="36"/>
          <w:szCs w:val="32"/>
        </w:rPr>
      </w:pPr>
      <w:r>
        <w:rPr>
          <w:rFonts w:hint="eastAsia"/>
          <w:b/>
          <w:sz w:val="36"/>
          <w:szCs w:val="32"/>
        </w:rPr>
        <w:t>乐山金标环境监测中心有限公司</w:t>
      </w:r>
    </w:p>
    <w:bookmarkEnd w:id="0"/>
    <w:p>
      <w:pPr>
        <w:spacing w:line="360" w:lineRule="auto"/>
        <w:jc w:val="center"/>
        <w:rPr>
          <w:b/>
          <w:sz w:val="36"/>
          <w:szCs w:val="32"/>
        </w:rPr>
      </w:pPr>
      <w:r>
        <w:rPr>
          <w:b/>
          <w:sz w:val="36"/>
          <w:szCs w:val="32"/>
        </w:rPr>
        <w:t>二O一</w:t>
      </w:r>
      <w:r>
        <w:rPr>
          <w:rFonts w:hint="eastAsia"/>
          <w:b/>
          <w:sz w:val="36"/>
          <w:szCs w:val="32"/>
        </w:rPr>
        <w:t>八</w:t>
      </w:r>
      <w:r>
        <w:rPr>
          <w:b/>
          <w:sz w:val="36"/>
          <w:szCs w:val="32"/>
        </w:rPr>
        <w:t>年</w:t>
      </w:r>
      <w:r>
        <w:rPr>
          <w:rFonts w:hint="eastAsia"/>
          <w:b/>
          <w:sz w:val="36"/>
          <w:szCs w:val="32"/>
        </w:rPr>
        <w:t>十</w:t>
      </w:r>
      <w:r>
        <w:rPr>
          <w:b/>
          <w:sz w:val="36"/>
          <w:szCs w:val="32"/>
        </w:rPr>
        <w:t>月</w:t>
      </w:r>
    </w:p>
    <w:p>
      <w:pPr>
        <w:spacing w:line="360" w:lineRule="auto"/>
        <w:rPr>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474" w:bottom="1440" w:left="1588" w:header="851" w:footer="992" w:gutter="0"/>
          <w:pgNumType w:start="0"/>
          <w:cols w:space="720" w:num="1"/>
          <w:titlePg/>
          <w:docGrid w:type="lines" w:linePitch="312" w:charSpace="0"/>
        </w:sectPr>
      </w:pPr>
    </w:p>
    <w:p>
      <w:pPr>
        <w:spacing w:line="480" w:lineRule="auto"/>
        <w:jc w:val="center"/>
        <w:rPr>
          <w:bCs/>
          <w:sz w:val="48"/>
          <w:szCs w:val="48"/>
        </w:rPr>
      </w:pPr>
    </w:p>
    <w:p>
      <w:pPr>
        <w:adjustRightInd w:val="0"/>
        <w:snapToGrid w:val="0"/>
        <w:spacing w:line="360" w:lineRule="auto"/>
        <w:jc w:val="center"/>
        <w:rPr>
          <w:b/>
          <w:bCs/>
          <w:sz w:val="44"/>
          <w:szCs w:val="48"/>
        </w:rPr>
      </w:pPr>
    </w:p>
    <w:p>
      <w:pPr>
        <w:adjustRightInd w:val="0"/>
        <w:snapToGrid w:val="0"/>
        <w:spacing w:line="360" w:lineRule="auto"/>
        <w:jc w:val="center"/>
        <w:rPr>
          <w:b/>
          <w:bCs/>
          <w:sz w:val="44"/>
          <w:szCs w:val="48"/>
        </w:rPr>
      </w:pPr>
      <w:r>
        <w:rPr>
          <w:rFonts w:hint="eastAsia"/>
          <w:b/>
          <w:bCs/>
          <w:sz w:val="44"/>
          <w:szCs w:val="48"/>
        </w:rPr>
        <w:t>峨眉山宏昇药业股份有限公司</w:t>
      </w:r>
    </w:p>
    <w:p>
      <w:pPr>
        <w:adjustRightInd w:val="0"/>
        <w:snapToGrid w:val="0"/>
        <w:spacing w:line="360" w:lineRule="auto"/>
        <w:jc w:val="center"/>
        <w:rPr>
          <w:bCs/>
          <w:sz w:val="44"/>
          <w:szCs w:val="48"/>
        </w:rPr>
      </w:pPr>
      <w:r>
        <w:rPr>
          <w:rFonts w:hint="eastAsia"/>
          <w:b/>
          <w:bCs/>
          <w:sz w:val="44"/>
          <w:szCs w:val="48"/>
        </w:rPr>
        <w:t>土壤环境自行监测方案</w:t>
      </w:r>
    </w:p>
    <w:p>
      <w:pPr>
        <w:spacing w:line="360" w:lineRule="auto"/>
        <w:jc w:val="center"/>
        <w:rPr>
          <w:bCs/>
          <w:sz w:val="52"/>
          <w:szCs w:val="52"/>
        </w:rPr>
      </w:pPr>
    </w:p>
    <w:p>
      <w:pPr>
        <w:spacing w:line="360" w:lineRule="auto"/>
        <w:jc w:val="left"/>
        <w:rPr>
          <w:bCs/>
          <w:sz w:val="32"/>
          <w:szCs w:val="32"/>
        </w:rPr>
      </w:pPr>
      <w:r>
        <w:rPr>
          <w:rFonts w:hint="eastAsia"/>
          <w:bCs/>
          <w:sz w:val="32"/>
          <w:szCs w:val="32"/>
        </w:rPr>
        <w:t>编制人：张颜</w:t>
      </w:r>
    </w:p>
    <w:p>
      <w:pPr>
        <w:spacing w:line="360" w:lineRule="auto"/>
        <w:jc w:val="left"/>
        <w:rPr>
          <w:bCs/>
          <w:sz w:val="32"/>
          <w:szCs w:val="32"/>
        </w:rPr>
      </w:pPr>
    </w:p>
    <w:p>
      <w:pPr>
        <w:spacing w:line="360" w:lineRule="auto"/>
        <w:jc w:val="left"/>
        <w:rPr>
          <w:bCs/>
          <w:sz w:val="32"/>
          <w:szCs w:val="32"/>
        </w:rPr>
      </w:pPr>
      <w:r>
        <w:rPr>
          <w:rFonts w:hint="eastAsia"/>
          <w:bCs/>
          <w:sz w:val="32"/>
          <w:szCs w:val="32"/>
        </w:rPr>
        <w:t>制图人：张颜</w:t>
      </w:r>
    </w:p>
    <w:p>
      <w:pPr>
        <w:spacing w:line="360" w:lineRule="auto"/>
        <w:jc w:val="left"/>
        <w:rPr>
          <w:bCs/>
          <w:sz w:val="32"/>
          <w:szCs w:val="32"/>
        </w:rPr>
      </w:pPr>
    </w:p>
    <w:p>
      <w:pPr>
        <w:spacing w:line="360" w:lineRule="auto"/>
        <w:jc w:val="left"/>
        <w:rPr>
          <w:bCs/>
          <w:sz w:val="32"/>
          <w:szCs w:val="32"/>
        </w:rPr>
      </w:pPr>
      <w:r>
        <w:rPr>
          <w:rFonts w:hint="eastAsia"/>
          <w:bCs/>
          <w:sz w:val="32"/>
          <w:szCs w:val="32"/>
        </w:rPr>
        <w:t>校核人：胡燕</w:t>
      </w:r>
    </w:p>
    <w:p>
      <w:pPr>
        <w:spacing w:line="360" w:lineRule="auto"/>
        <w:jc w:val="left"/>
        <w:rPr>
          <w:bCs/>
          <w:sz w:val="32"/>
          <w:szCs w:val="32"/>
        </w:rPr>
      </w:pPr>
    </w:p>
    <w:p>
      <w:pPr>
        <w:spacing w:line="360" w:lineRule="auto"/>
        <w:jc w:val="left"/>
        <w:rPr>
          <w:bCs/>
          <w:sz w:val="32"/>
          <w:szCs w:val="32"/>
        </w:rPr>
      </w:pPr>
      <w:r>
        <w:rPr>
          <w:rFonts w:hint="eastAsia"/>
          <w:bCs/>
          <w:sz w:val="32"/>
          <w:szCs w:val="32"/>
        </w:rPr>
        <w:t>审定人：李芳智</w:t>
      </w:r>
    </w:p>
    <w:p>
      <w:pPr>
        <w:spacing w:line="360" w:lineRule="auto"/>
        <w:jc w:val="center"/>
        <w:rPr>
          <w:bCs/>
          <w:sz w:val="48"/>
          <w:szCs w:val="48"/>
        </w:rPr>
      </w:pPr>
    </w:p>
    <w:p>
      <w:pPr>
        <w:spacing w:line="360" w:lineRule="auto"/>
        <w:jc w:val="center"/>
        <w:rPr>
          <w:bCs/>
          <w:sz w:val="48"/>
          <w:szCs w:val="48"/>
        </w:rPr>
      </w:pPr>
    </w:p>
    <w:p>
      <w:pPr>
        <w:widowControl/>
        <w:spacing w:line="360" w:lineRule="auto"/>
        <w:jc w:val="center"/>
        <w:rPr>
          <w:sz w:val="28"/>
          <w:szCs w:val="28"/>
        </w:rPr>
      </w:pPr>
    </w:p>
    <w:p>
      <w:pPr>
        <w:widowControl/>
        <w:spacing w:line="360" w:lineRule="auto"/>
        <w:jc w:val="center"/>
        <w:rPr>
          <w:sz w:val="30"/>
          <w:szCs w:val="30"/>
        </w:rPr>
      </w:pPr>
    </w:p>
    <w:p>
      <w:pPr>
        <w:widowControl/>
        <w:spacing w:line="360" w:lineRule="auto"/>
        <w:jc w:val="center"/>
        <w:rPr>
          <w:sz w:val="30"/>
          <w:szCs w:val="30"/>
        </w:rPr>
      </w:pPr>
    </w:p>
    <w:p>
      <w:pPr>
        <w:widowControl/>
        <w:spacing w:line="360" w:lineRule="auto"/>
        <w:jc w:val="center"/>
        <w:rPr>
          <w:sz w:val="30"/>
          <w:szCs w:val="30"/>
        </w:rPr>
      </w:pPr>
    </w:p>
    <w:p>
      <w:pPr>
        <w:widowControl/>
        <w:spacing w:line="360" w:lineRule="auto"/>
        <w:ind w:firstLine="1500" w:firstLineChars="500"/>
        <w:rPr>
          <w:sz w:val="30"/>
          <w:szCs w:val="30"/>
        </w:rPr>
      </w:pPr>
      <w:r>
        <w:rPr>
          <w:rFonts w:hint="eastAsia"/>
          <w:sz w:val="30"/>
          <w:szCs w:val="30"/>
        </w:rPr>
        <w:t>编制单位：乐山金标环境监测中心有限公司</w:t>
      </w:r>
    </w:p>
    <w:p>
      <w:pPr>
        <w:widowControl/>
        <w:spacing w:line="360" w:lineRule="auto"/>
        <w:jc w:val="center"/>
        <w:rPr>
          <w:sz w:val="30"/>
          <w:szCs w:val="30"/>
        </w:rPr>
      </w:pPr>
      <w:r>
        <w:rPr>
          <w:rFonts w:hint="eastAsia"/>
          <w:sz w:val="30"/>
          <w:szCs w:val="30"/>
        </w:rPr>
        <w:t>公司地址：四川省乐山市高新区南新路12号</w:t>
      </w:r>
    </w:p>
    <w:p>
      <w:pPr>
        <w:widowControl/>
        <w:spacing w:line="360" w:lineRule="auto"/>
        <w:ind w:firstLine="1500" w:firstLineChars="500"/>
        <w:rPr>
          <w:sz w:val="30"/>
          <w:szCs w:val="30"/>
        </w:rPr>
      </w:pPr>
      <w:r>
        <w:rPr>
          <w:rFonts w:hint="eastAsia"/>
          <w:sz w:val="30"/>
          <w:szCs w:val="30"/>
        </w:rPr>
        <w:t>联系电话：0833-2431498</w:t>
      </w:r>
    </w:p>
    <w:p>
      <w:pPr>
        <w:spacing w:line="360" w:lineRule="auto"/>
        <w:jc w:val="center"/>
        <w:rPr>
          <w:b/>
          <w:sz w:val="28"/>
          <w:szCs w:val="28"/>
        </w:rPr>
      </w:pPr>
      <w:r>
        <w:rPr>
          <w:b/>
          <w:sz w:val="32"/>
          <w:szCs w:val="32"/>
        </w:rPr>
        <w:br w:type="page"/>
      </w:r>
      <w:r>
        <w:rPr>
          <w:b/>
          <w:sz w:val="28"/>
          <w:szCs w:val="28"/>
        </w:rPr>
        <w:t>目录</w:t>
      </w:r>
    </w:p>
    <w:p>
      <w:pPr>
        <w:pStyle w:val="14"/>
        <w:rPr>
          <w:rFonts w:asciiTheme="minorHAnsi" w:hAnsiTheme="minorHAnsi" w:eastAsiaTheme="minorEastAsia" w:cstheme="minorBidi"/>
          <w:b w:val="0"/>
          <w:sz w:val="21"/>
          <w:szCs w:val="22"/>
        </w:rPr>
      </w:pPr>
      <w:r>
        <w:rPr>
          <w:rFonts w:hAnsi="Times New Roman"/>
          <w:b w:val="0"/>
          <w:bCs/>
        </w:rPr>
        <w:fldChar w:fldCharType="begin"/>
      </w:r>
      <w:r>
        <w:rPr>
          <w:rFonts w:hAnsi="Times New Roman"/>
          <w:b w:val="0"/>
          <w:bCs/>
        </w:rPr>
        <w:instrText xml:space="preserve"> TOC \o "1-3" \h \z \u </w:instrText>
      </w:r>
      <w:r>
        <w:rPr>
          <w:rFonts w:hAnsi="Times New Roman"/>
          <w:b w:val="0"/>
          <w:bCs/>
        </w:rPr>
        <w:fldChar w:fldCharType="separate"/>
      </w:r>
      <w:r>
        <w:fldChar w:fldCharType="begin"/>
      </w:r>
      <w:r>
        <w:instrText xml:space="preserve"> HYPERLINK \l "_Toc532386741" </w:instrText>
      </w:r>
      <w:r>
        <w:fldChar w:fldCharType="separate"/>
      </w:r>
      <w:r>
        <w:rPr>
          <w:rStyle w:val="18"/>
        </w:rPr>
        <w:t>1</w:t>
      </w:r>
      <w:r>
        <w:rPr>
          <w:rStyle w:val="18"/>
          <w:rFonts w:hint="eastAsia"/>
        </w:rPr>
        <w:t>、前言</w:t>
      </w:r>
      <w:r>
        <w:tab/>
      </w:r>
      <w:r>
        <w:fldChar w:fldCharType="begin"/>
      </w:r>
      <w:r>
        <w:instrText xml:space="preserve"> PAGEREF _Toc532386741 \h </w:instrText>
      </w:r>
      <w:r>
        <w:fldChar w:fldCharType="separate"/>
      </w:r>
      <w:r>
        <w:t>1</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"_Toc532386742" </w:instrText>
      </w:r>
      <w:r>
        <w:fldChar w:fldCharType="separate"/>
      </w:r>
      <w:r>
        <w:rPr>
          <w:rStyle w:val="18"/>
        </w:rPr>
        <w:t>2</w:t>
      </w:r>
      <w:r>
        <w:rPr>
          <w:rStyle w:val="18"/>
          <w:rFonts w:hint="eastAsia"/>
        </w:rPr>
        <w:t>、概述</w:t>
      </w:r>
      <w:r>
        <w:tab/>
      </w:r>
      <w:r>
        <w:fldChar w:fldCharType="begin"/>
      </w:r>
      <w:r>
        <w:instrText xml:space="preserve"> PAGEREF _Toc532386742 \h </w:instrText>
      </w:r>
      <w:r>
        <w:fldChar w:fldCharType="separate"/>
      </w:r>
      <w:r>
        <w:t>3</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"_Toc532386743" </w:instrText>
      </w:r>
      <w:r>
        <w:fldChar w:fldCharType="separate"/>
      </w:r>
      <w:r>
        <w:rPr>
          <w:rStyle w:val="18"/>
          <w:b/>
        </w:rPr>
        <w:t xml:space="preserve">2.1 </w:t>
      </w:r>
      <w:r>
        <w:rPr>
          <w:rStyle w:val="18"/>
          <w:rFonts w:hint="eastAsia"/>
          <w:b/>
        </w:rPr>
        <w:t>编制目的</w:t>
      </w:r>
      <w:r>
        <w:tab/>
      </w:r>
      <w:r>
        <w:fldChar w:fldCharType="begin"/>
      </w:r>
      <w:r>
        <w:instrText xml:space="preserve"> PAGEREF _Toc532386743 \h </w:instrText>
      </w:r>
      <w:r>
        <w:fldChar w:fldCharType="separate"/>
      </w:r>
      <w:r>
        <w:t>3</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"_Toc532386744" </w:instrText>
      </w:r>
      <w:r>
        <w:fldChar w:fldCharType="separate"/>
      </w:r>
      <w:r>
        <w:rPr>
          <w:rStyle w:val="18"/>
          <w:b/>
        </w:rPr>
        <w:t>2.2</w:t>
      </w:r>
      <w:r>
        <w:rPr>
          <w:rStyle w:val="18"/>
          <w:rFonts w:hint="eastAsia"/>
          <w:b/>
        </w:rPr>
        <w:t>编制原则</w:t>
      </w:r>
      <w:r>
        <w:tab/>
      </w:r>
      <w:r>
        <w:fldChar w:fldCharType="begin"/>
      </w:r>
      <w:r>
        <w:instrText xml:space="preserve"> PAGEREF _Toc532386744 \h </w:instrText>
      </w:r>
      <w:r>
        <w:fldChar w:fldCharType="separate"/>
      </w:r>
      <w:r>
        <w:t>3</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"_Toc532386745" </w:instrText>
      </w:r>
      <w:r>
        <w:fldChar w:fldCharType="separate"/>
      </w:r>
      <w:r>
        <w:rPr>
          <w:rStyle w:val="18"/>
          <w:b/>
        </w:rPr>
        <w:t xml:space="preserve">2.3 </w:t>
      </w:r>
      <w:r>
        <w:rPr>
          <w:rStyle w:val="18"/>
          <w:rFonts w:hint="eastAsia"/>
          <w:b/>
        </w:rPr>
        <w:t>调查依据</w:t>
      </w:r>
      <w:r>
        <w:tab/>
      </w:r>
      <w:r>
        <w:fldChar w:fldCharType="begin"/>
      </w:r>
      <w:r>
        <w:instrText xml:space="preserve"> PAGEREF _Toc532386745 \h </w:instrText>
      </w:r>
      <w:r>
        <w:fldChar w:fldCharType="separate"/>
      </w:r>
      <w:r>
        <w:t>3</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"_Toc532386746" </w:instrText>
      </w:r>
      <w:r>
        <w:fldChar w:fldCharType="separate"/>
      </w:r>
      <w:r>
        <w:rPr>
          <w:rStyle w:val="18"/>
        </w:rPr>
        <w:t>2.3.1</w:t>
      </w:r>
      <w:r>
        <w:rPr>
          <w:rStyle w:val="18"/>
          <w:rFonts w:hint="eastAsia"/>
        </w:rPr>
        <w:t>法律法规及文件</w:t>
      </w:r>
      <w:r>
        <w:tab/>
      </w:r>
      <w:r>
        <w:fldChar w:fldCharType="begin"/>
      </w:r>
      <w:r>
        <w:instrText xml:space="preserve"> PAGEREF _Toc532386746 \h </w:instrText>
      </w:r>
      <w:r>
        <w:fldChar w:fldCharType="separate"/>
      </w:r>
      <w:r>
        <w:t>3</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"_Toc532386747" </w:instrText>
      </w:r>
      <w:r>
        <w:fldChar w:fldCharType="separate"/>
      </w:r>
      <w:r>
        <w:rPr>
          <w:rStyle w:val="18"/>
        </w:rPr>
        <w:t>2.3.2</w:t>
      </w:r>
      <w:r>
        <w:rPr>
          <w:rStyle w:val="18"/>
          <w:rFonts w:hint="eastAsia"/>
        </w:rPr>
        <w:t>标准及规范</w:t>
      </w:r>
      <w:r>
        <w:tab/>
      </w:r>
      <w:r>
        <w:fldChar w:fldCharType="begin"/>
      </w:r>
      <w:r>
        <w:instrText xml:space="preserve"> PAGEREF _Toc532386747 \h </w:instrText>
      </w:r>
      <w:r>
        <w:fldChar w:fldCharType="separate"/>
      </w:r>
      <w:r>
        <w:t>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"_Toc532386748" </w:instrText>
      </w:r>
      <w:r>
        <w:fldChar w:fldCharType="separate"/>
      </w:r>
      <w:r>
        <w:rPr>
          <w:rStyle w:val="18"/>
        </w:rPr>
        <w:t>2.3.3</w:t>
      </w:r>
      <w:r>
        <w:rPr>
          <w:rStyle w:val="18"/>
          <w:rFonts w:hint="eastAsia"/>
        </w:rPr>
        <w:t>技术指南</w:t>
      </w:r>
      <w:r>
        <w:tab/>
      </w:r>
      <w:r>
        <w:fldChar w:fldCharType="begin"/>
      </w:r>
      <w:r>
        <w:instrText xml:space="preserve"> PAGEREF _Toc532386748 \h </w:instrText>
      </w:r>
      <w:r>
        <w:fldChar w:fldCharType="separate"/>
      </w:r>
      <w:r>
        <w:t>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"_Toc532386749" </w:instrText>
      </w:r>
      <w:r>
        <w:fldChar w:fldCharType="separate"/>
      </w:r>
      <w:r>
        <w:rPr>
          <w:rStyle w:val="18"/>
        </w:rPr>
        <w:t>2.3.4</w:t>
      </w:r>
      <w:r>
        <w:rPr>
          <w:rStyle w:val="18"/>
          <w:rFonts w:hint="eastAsia"/>
        </w:rPr>
        <w:t>其他文件</w:t>
      </w:r>
      <w:r>
        <w:tab/>
      </w:r>
      <w:r>
        <w:fldChar w:fldCharType="begin"/>
      </w:r>
      <w:r>
        <w:instrText xml:space="preserve"> PAGEREF _Toc532386749 \h </w:instrText>
      </w:r>
      <w:r>
        <w:fldChar w:fldCharType="separate"/>
      </w:r>
      <w:r>
        <w:t>4</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"_Toc532386750" </w:instrText>
      </w:r>
      <w:r>
        <w:fldChar w:fldCharType="separate"/>
      </w:r>
      <w:r>
        <w:rPr>
          <w:rStyle w:val="18"/>
          <w:b/>
        </w:rPr>
        <w:t xml:space="preserve">2.4 </w:t>
      </w:r>
      <w:r>
        <w:rPr>
          <w:rStyle w:val="18"/>
          <w:rFonts w:hint="eastAsia"/>
          <w:b/>
        </w:rPr>
        <w:t>技术路线</w:t>
      </w:r>
      <w:r>
        <w:tab/>
      </w:r>
      <w:r>
        <w:fldChar w:fldCharType="begin"/>
      </w:r>
      <w:r>
        <w:instrText xml:space="preserve"> PAGEREF _Toc532386750 \h </w:instrText>
      </w:r>
      <w:r>
        <w:fldChar w:fldCharType="separate"/>
      </w:r>
      <w:r>
        <w:t>5</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"_Toc532386751" </w:instrText>
      </w:r>
      <w:r>
        <w:fldChar w:fldCharType="separate"/>
      </w:r>
      <w:r>
        <w:rPr>
          <w:rStyle w:val="18"/>
        </w:rPr>
        <w:t>2.4.1</w:t>
      </w:r>
      <w:r>
        <w:rPr>
          <w:rStyle w:val="18"/>
          <w:rFonts w:hint="eastAsia"/>
        </w:rPr>
        <w:t>资料收集分析</w:t>
      </w:r>
      <w:r>
        <w:tab/>
      </w:r>
      <w:r>
        <w:fldChar w:fldCharType="begin"/>
      </w:r>
      <w:r>
        <w:instrText xml:space="preserve"> PAGEREF _Toc532386751 \h </w:instrText>
      </w:r>
      <w:r>
        <w:fldChar w:fldCharType="separate"/>
      </w:r>
      <w:r>
        <w:t>5</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"_Toc532386752" </w:instrText>
      </w:r>
      <w:r>
        <w:fldChar w:fldCharType="separate"/>
      </w:r>
      <w:r>
        <w:rPr>
          <w:rStyle w:val="18"/>
        </w:rPr>
        <w:t>3</w:t>
      </w:r>
      <w:r>
        <w:rPr>
          <w:rStyle w:val="18"/>
          <w:rFonts w:hint="eastAsia"/>
        </w:rPr>
        <w:t>、场地概况</w:t>
      </w:r>
      <w:r>
        <w:tab/>
      </w:r>
      <w:r>
        <w:fldChar w:fldCharType="begin"/>
      </w:r>
      <w:r>
        <w:instrText xml:space="preserve"> PAGEREF _Toc532386752 \h </w:instrText>
      </w:r>
      <w:r>
        <w:fldChar w:fldCharType="separate"/>
      </w:r>
      <w:r>
        <w:t>7</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"_Toc532386753" </w:instrText>
      </w:r>
      <w:r>
        <w:fldChar w:fldCharType="separate"/>
      </w:r>
      <w:r>
        <w:rPr>
          <w:rStyle w:val="18"/>
          <w:b/>
        </w:rPr>
        <w:t xml:space="preserve">3.1 </w:t>
      </w:r>
      <w:r>
        <w:rPr>
          <w:rStyle w:val="18"/>
          <w:rFonts w:hint="eastAsia"/>
          <w:b/>
        </w:rPr>
        <w:t>区域环境状况</w:t>
      </w:r>
      <w:r>
        <w:tab/>
      </w:r>
      <w:r>
        <w:fldChar w:fldCharType="begin"/>
      </w:r>
      <w:r>
        <w:instrText xml:space="preserve"> PAGEREF _Toc532386753 \h </w:instrText>
      </w:r>
      <w:r>
        <w:fldChar w:fldCharType="separate"/>
      </w:r>
      <w:r>
        <w:t>7</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"_Toc532386754" </w:instrText>
      </w:r>
      <w:r>
        <w:fldChar w:fldCharType="separate"/>
      </w:r>
      <w:r>
        <w:rPr>
          <w:rStyle w:val="18"/>
        </w:rPr>
        <w:t>3.1.1</w:t>
      </w:r>
      <w:r>
        <w:rPr>
          <w:rStyle w:val="18"/>
          <w:rFonts w:hint="eastAsia"/>
        </w:rPr>
        <w:t>地理位置</w:t>
      </w:r>
      <w:r>
        <w:tab/>
      </w:r>
      <w:r>
        <w:fldChar w:fldCharType="begin"/>
      </w:r>
      <w:r>
        <w:instrText xml:space="preserve"> PAGEREF _Toc532386754 \h </w:instrText>
      </w:r>
      <w:r>
        <w:fldChar w:fldCharType="separate"/>
      </w:r>
      <w:r>
        <w:t>7</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"_Toc532386755" </w:instrText>
      </w:r>
      <w:r>
        <w:fldChar w:fldCharType="separate"/>
      </w:r>
      <w:r>
        <w:rPr>
          <w:rStyle w:val="18"/>
        </w:rPr>
        <w:t>3.1.2</w:t>
      </w:r>
      <w:r>
        <w:rPr>
          <w:rStyle w:val="18"/>
          <w:rFonts w:hint="eastAsia"/>
        </w:rPr>
        <w:t>地形地貌、地质情况</w:t>
      </w:r>
      <w:r>
        <w:tab/>
      </w:r>
      <w:r>
        <w:fldChar w:fldCharType="begin"/>
      </w:r>
      <w:r>
        <w:instrText xml:space="preserve"> PAGEREF _Toc532386755 \h </w:instrText>
      </w:r>
      <w:r>
        <w:fldChar w:fldCharType="separate"/>
      </w:r>
      <w:r>
        <w:t>7</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"_Toc532386756" </w:instrText>
      </w:r>
      <w:r>
        <w:fldChar w:fldCharType="separate"/>
      </w:r>
      <w:r>
        <w:rPr>
          <w:rStyle w:val="18"/>
        </w:rPr>
        <w:t xml:space="preserve">3.1.3 </w:t>
      </w:r>
      <w:r>
        <w:rPr>
          <w:rStyle w:val="18"/>
          <w:rFonts w:hint="eastAsia"/>
        </w:rPr>
        <w:t>地层</w:t>
      </w:r>
      <w:r>
        <w:tab/>
      </w:r>
      <w:r>
        <w:fldChar w:fldCharType="begin"/>
      </w:r>
      <w:r>
        <w:instrText xml:space="preserve"> PAGEREF _Toc532386756 \h </w:instrText>
      </w:r>
      <w:r>
        <w:fldChar w:fldCharType="separate"/>
      </w:r>
      <w:r>
        <w:t>8</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"_Toc532386757" </w:instrText>
      </w:r>
      <w:r>
        <w:fldChar w:fldCharType="separate"/>
      </w:r>
      <w:r>
        <w:rPr>
          <w:rStyle w:val="18"/>
        </w:rPr>
        <w:t>3.1.4</w:t>
      </w:r>
      <w:r>
        <w:rPr>
          <w:rStyle w:val="18"/>
          <w:rFonts w:hint="eastAsia"/>
        </w:rPr>
        <w:t>水文地质条件</w:t>
      </w:r>
      <w:r>
        <w:tab/>
      </w:r>
      <w:r>
        <w:fldChar w:fldCharType="begin"/>
      </w:r>
      <w:r>
        <w:instrText xml:space="preserve"> PAGEREF _Toc532386757 \h </w:instrText>
      </w:r>
      <w:r>
        <w:fldChar w:fldCharType="separate"/>
      </w:r>
      <w:r>
        <w:t>9</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"_Toc532386758" </w:instrText>
      </w:r>
      <w:r>
        <w:fldChar w:fldCharType="separate"/>
      </w:r>
      <w:r>
        <w:rPr>
          <w:rStyle w:val="18"/>
        </w:rPr>
        <w:t>4</w:t>
      </w:r>
      <w:r>
        <w:rPr>
          <w:rStyle w:val="18"/>
          <w:rFonts w:hint="eastAsia"/>
        </w:rPr>
        <w:t>、资料分析</w:t>
      </w:r>
      <w:r>
        <w:tab/>
      </w:r>
      <w:r>
        <w:fldChar w:fldCharType="begin"/>
      </w:r>
      <w:r>
        <w:instrText xml:space="preserve"> PAGEREF _Toc532386758 \h </w:instrText>
      </w:r>
      <w:r>
        <w:fldChar w:fldCharType="separate"/>
      </w:r>
      <w:r>
        <w:t>14</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"_Toc532386759" </w:instrText>
      </w:r>
      <w:r>
        <w:fldChar w:fldCharType="separate"/>
      </w:r>
      <w:r>
        <w:rPr>
          <w:rStyle w:val="18"/>
          <w:b/>
        </w:rPr>
        <w:t>4.1</w:t>
      </w:r>
      <w:r>
        <w:rPr>
          <w:rStyle w:val="18"/>
          <w:rFonts w:hint="eastAsia"/>
          <w:b/>
        </w:rPr>
        <w:t>资料收集及分析</w:t>
      </w:r>
      <w:r>
        <w:tab/>
      </w:r>
      <w:r>
        <w:fldChar w:fldCharType="begin"/>
      </w:r>
      <w:r>
        <w:instrText xml:space="preserve"> PAGEREF _Toc532386759 \h </w:instrText>
      </w:r>
      <w:r>
        <w:fldChar w:fldCharType="separate"/>
      </w:r>
      <w:r>
        <w:t>14</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"_Toc532386760" </w:instrText>
      </w:r>
      <w:r>
        <w:fldChar w:fldCharType="separate"/>
      </w:r>
      <w:r>
        <w:rPr>
          <w:rStyle w:val="18"/>
          <w:b/>
        </w:rPr>
        <w:t>4.2</w:t>
      </w:r>
      <w:r>
        <w:rPr>
          <w:rStyle w:val="18"/>
          <w:rFonts w:hint="eastAsia"/>
          <w:b/>
          <w:bCs/>
        </w:rPr>
        <w:t>布局现状及生产现状</w:t>
      </w:r>
      <w:r>
        <w:tab/>
      </w:r>
      <w:r>
        <w:fldChar w:fldCharType="begin"/>
      </w:r>
      <w:r>
        <w:instrText xml:space="preserve"> PAGEREF _Toc532386760 \h </w:instrText>
      </w:r>
      <w:r>
        <w:fldChar w:fldCharType="separate"/>
      </w:r>
      <w:r>
        <w:t>14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"_Toc532386761" </w:instrText>
      </w:r>
      <w:r>
        <w:fldChar w:fldCharType="separate"/>
      </w:r>
      <w:r>
        <w:rPr>
          <w:rStyle w:val="18"/>
        </w:rPr>
        <w:t>4.2.1</w:t>
      </w:r>
      <w:r>
        <w:rPr>
          <w:rStyle w:val="18"/>
          <w:rFonts w:hint="eastAsia"/>
        </w:rPr>
        <w:t>布局现状</w:t>
      </w:r>
      <w:r>
        <w:tab/>
      </w:r>
      <w:r>
        <w:fldChar w:fldCharType="begin"/>
      </w:r>
      <w:r>
        <w:instrText xml:space="preserve"> PAGEREF _Toc532386761 \h </w:instrText>
      </w:r>
      <w:r>
        <w:fldChar w:fldCharType="separate"/>
      </w:r>
      <w:r>
        <w:t>14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"_Toc532386762" </w:instrText>
      </w:r>
      <w:r>
        <w:fldChar w:fldCharType="separate"/>
      </w:r>
      <w:r>
        <w:rPr>
          <w:rStyle w:val="18"/>
        </w:rPr>
        <w:t>4.2.2</w:t>
      </w:r>
      <w:r>
        <w:rPr>
          <w:rStyle w:val="18"/>
          <w:rFonts w:hint="eastAsia"/>
        </w:rPr>
        <w:t>生产现状</w:t>
      </w:r>
      <w:r>
        <w:tab/>
      </w:r>
      <w:r>
        <w:fldChar w:fldCharType="begin"/>
      </w:r>
      <w:r>
        <w:instrText xml:space="preserve"> PAGEREF _Toc532386762 \h </w:instrText>
      </w:r>
      <w:r>
        <w:fldChar w:fldCharType="separate"/>
      </w:r>
      <w:r>
        <w:t>15</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"_Toc532386763" </w:instrText>
      </w:r>
      <w:r>
        <w:fldChar w:fldCharType="separate"/>
      </w:r>
      <w:r>
        <w:rPr>
          <w:rStyle w:val="18"/>
        </w:rPr>
        <w:t>5</w:t>
      </w:r>
      <w:r>
        <w:rPr>
          <w:rStyle w:val="18"/>
          <w:rFonts w:hint="eastAsia"/>
        </w:rPr>
        <w:t>、重点区域及设施识别</w:t>
      </w:r>
      <w:r>
        <w:tab/>
      </w:r>
      <w:r>
        <w:fldChar w:fldCharType="begin"/>
      </w:r>
      <w:r>
        <w:instrText xml:space="preserve"> PAGEREF _Toc532386763 \h </w:instrText>
      </w:r>
      <w:r>
        <w:fldChar w:fldCharType="separate"/>
      </w:r>
      <w:r>
        <w:t>33</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"_Toc532386764" </w:instrText>
      </w:r>
      <w:r>
        <w:fldChar w:fldCharType="separate"/>
      </w:r>
      <w:r>
        <w:rPr>
          <w:rStyle w:val="18"/>
        </w:rPr>
        <w:t>6</w:t>
      </w:r>
      <w:r>
        <w:rPr>
          <w:rStyle w:val="18"/>
          <w:rFonts w:hint="eastAsia"/>
        </w:rPr>
        <w:t>、自行监测工作计划</w:t>
      </w:r>
      <w:r>
        <w:tab/>
      </w:r>
      <w:r>
        <w:fldChar w:fldCharType="begin"/>
      </w:r>
      <w:r>
        <w:instrText xml:space="preserve"> PAGEREF _Toc532386764 \h </w:instrText>
      </w:r>
      <w:r>
        <w:fldChar w:fldCharType="separate"/>
      </w:r>
      <w:r>
        <w:t>36</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"_Toc532386765" </w:instrText>
      </w:r>
      <w:r>
        <w:fldChar w:fldCharType="separate"/>
      </w:r>
      <w:r>
        <w:rPr>
          <w:rStyle w:val="18"/>
          <w:b/>
        </w:rPr>
        <w:t xml:space="preserve">6.1 </w:t>
      </w:r>
      <w:r>
        <w:rPr>
          <w:rStyle w:val="18"/>
          <w:rFonts w:hint="eastAsia"/>
          <w:b/>
        </w:rPr>
        <w:t>自行监测方案要求</w:t>
      </w:r>
      <w:r>
        <w:tab/>
      </w:r>
      <w:r>
        <w:fldChar w:fldCharType="begin"/>
      </w:r>
      <w:r>
        <w:instrText xml:space="preserve"> PAGEREF _Toc532386765 \h </w:instrText>
      </w:r>
      <w:r>
        <w:fldChar w:fldCharType="separate"/>
      </w:r>
      <w:r>
        <w:t>36</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"_Toc532386766" </w:instrText>
      </w:r>
      <w:r>
        <w:fldChar w:fldCharType="separate"/>
      </w:r>
      <w:r>
        <w:rPr>
          <w:rStyle w:val="18"/>
        </w:rPr>
        <w:t>6.1.1</w:t>
      </w:r>
      <w:r>
        <w:rPr>
          <w:rStyle w:val="18"/>
          <w:rFonts w:hint="eastAsia"/>
        </w:rPr>
        <w:t>背景监测点</w:t>
      </w:r>
      <w:r>
        <w:tab/>
      </w:r>
      <w:r>
        <w:fldChar w:fldCharType="begin"/>
      </w:r>
      <w:r>
        <w:instrText xml:space="preserve"> PAGEREF _Toc532386766 \h </w:instrText>
      </w:r>
      <w:r>
        <w:fldChar w:fldCharType="separate"/>
      </w:r>
      <w:r>
        <w:t>36</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"_Toc532386767" </w:instrText>
      </w:r>
      <w:r>
        <w:fldChar w:fldCharType="separate"/>
      </w:r>
      <w:r>
        <w:rPr>
          <w:rStyle w:val="18"/>
        </w:rPr>
        <w:t>6.1.2</w:t>
      </w:r>
      <w:r>
        <w:rPr>
          <w:rStyle w:val="18"/>
          <w:rFonts w:hint="eastAsia"/>
        </w:rPr>
        <w:t>土壤监测</w:t>
      </w:r>
      <w:r>
        <w:tab/>
      </w:r>
      <w:r>
        <w:fldChar w:fldCharType="begin"/>
      </w:r>
      <w:r>
        <w:instrText xml:space="preserve"> PAGEREF _Toc532386767 \h </w:instrText>
      </w:r>
      <w:r>
        <w:fldChar w:fldCharType="separate"/>
      </w:r>
      <w:r>
        <w:t>36</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"_Toc532386768" </w:instrText>
      </w:r>
      <w:r>
        <w:fldChar w:fldCharType="separate"/>
      </w:r>
      <w:r>
        <w:rPr>
          <w:rStyle w:val="18"/>
        </w:rPr>
        <w:t>6.1.3</w:t>
      </w:r>
      <w:r>
        <w:rPr>
          <w:rStyle w:val="18"/>
          <w:rFonts w:hint="eastAsia"/>
        </w:rPr>
        <w:t>地下水监测</w:t>
      </w:r>
      <w:r>
        <w:tab/>
      </w:r>
      <w:r>
        <w:fldChar w:fldCharType="begin"/>
      </w:r>
      <w:r>
        <w:instrText xml:space="preserve"> PAGEREF _Toc532386768 \h </w:instrText>
      </w:r>
      <w:r>
        <w:fldChar w:fldCharType="separate"/>
      </w:r>
      <w:r>
        <w:t>37</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"_Toc532386769" </w:instrText>
      </w:r>
      <w:r>
        <w:fldChar w:fldCharType="separate"/>
      </w:r>
      <w:r>
        <w:rPr>
          <w:rStyle w:val="18"/>
        </w:rPr>
        <w:t>6.1.4</w:t>
      </w:r>
      <w:r>
        <w:rPr>
          <w:rStyle w:val="18"/>
          <w:rFonts w:hint="eastAsia"/>
        </w:rPr>
        <w:t>监测频率</w:t>
      </w:r>
      <w:r>
        <w:tab/>
      </w:r>
      <w:r>
        <w:fldChar w:fldCharType="begin"/>
      </w:r>
      <w:r>
        <w:instrText xml:space="preserve"> PAGEREF _Toc532386769 \h </w:instrText>
      </w:r>
      <w:r>
        <w:fldChar w:fldCharType="separate"/>
      </w:r>
      <w:r>
        <w:t>39</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"_Toc532386770" </w:instrText>
      </w:r>
      <w:r>
        <w:fldChar w:fldCharType="separate"/>
      </w:r>
      <w:r>
        <w:rPr>
          <w:rStyle w:val="18"/>
        </w:rPr>
        <w:t>6.1.5</w:t>
      </w:r>
      <w:r>
        <w:rPr>
          <w:rStyle w:val="18"/>
          <w:rFonts w:hint="eastAsia"/>
        </w:rPr>
        <w:t>监测点位及项目</w:t>
      </w:r>
      <w:r>
        <w:tab/>
      </w:r>
      <w:r>
        <w:fldChar w:fldCharType="begin"/>
      </w:r>
      <w:r>
        <w:instrText xml:space="preserve"> PAGEREF _Toc532386770 \h </w:instrText>
      </w:r>
      <w:r>
        <w:fldChar w:fldCharType="separate"/>
      </w:r>
      <w:r>
        <w:t>39</w:t>
      </w:r>
      <w:r>
        <w:fldChar w:fldCharType="end"/>
      </w:r>
      <w:r>
        <w:fldChar w:fldCharType="end"/>
      </w:r>
    </w:p>
    <w:p>
      <w:pPr>
        <w:pStyle w:val="14"/>
        <w:rPr>
          <w:rFonts w:asciiTheme="minorHAnsi" w:hAnsiTheme="minorHAnsi" w:eastAsiaTheme="minorEastAsia" w:cstheme="minorBidi"/>
          <w:b w:val="0"/>
          <w:sz w:val="21"/>
          <w:szCs w:val="22"/>
        </w:rPr>
      </w:pPr>
      <w:r>
        <w:fldChar w:fldCharType="begin"/>
      </w:r>
      <w:r>
        <w:instrText xml:space="preserve"> HYPERLINK \l "_Toc532386771" </w:instrText>
      </w:r>
      <w:r>
        <w:fldChar w:fldCharType="separate"/>
      </w:r>
      <w:r>
        <w:rPr>
          <w:rStyle w:val="18"/>
          <w:bCs/>
        </w:rPr>
        <w:t>7</w:t>
      </w:r>
      <w:r>
        <w:rPr>
          <w:rStyle w:val="18"/>
          <w:rFonts w:hint="eastAsia"/>
          <w:bCs/>
        </w:rPr>
        <w:t>、样品采集、保存、流转及分析测试</w:t>
      </w:r>
      <w:r>
        <w:tab/>
      </w:r>
      <w:r>
        <w:fldChar w:fldCharType="begin"/>
      </w:r>
      <w:r>
        <w:instrText xml:space="preserve"> PAGEREF _Toc532386771 \h </w:instrText>
      </w:r>
      <w:r>
        <w:fldChar w:fldCharType="separate"/>
      </w:r>
      <w:r>
        <w:t>42</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"_Toc532386772" </w:instrText>
      </w:r>
      <w:r>
        <w:fldChar w:fldCharType="separate"/>
      </w:r>
      <w:r>
        <w:rPr>
          <w:rStyle w:val="18"/>
          <w:b/>
        </w:rPr>
        <w:t>7.1</w:t>
      </w:r>
      <w:r>
        <w:rPr>
          <w:rStyle w:val="18"/>
          <w:rFonts w:hint="eastAsia"/>
          <w:b/>
        </w:rPr>
        <w:t>土壤取样方法</w:t>
      </w:r>
      <w:r>
        <w:tab/>
      </w:r>
      <w:r>
        <w:fldChar w:fldCharType="begin"/>
      </w:r>
      <w:r>
        <w:instrText xml:space="preserve"> PAGEREF _Toc532386772 \h </w:instrText>
      </w:r>
      <w:r>
        <w:fldChar w:fldCharType="separate"/>
      </w:r>
      <w:r>
        <w:t>42</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"_Toc532386773" </w:instrText>
      </w:r>
      <w:r>
        <w:fldChar w:fldCharType="separate"/>
      </w:r>
      <w:r>
        <w:rPr>
          <w:rStyle w:val="18"/>
          <w:b/>
        </w:rPr>
        <w:t>7.2</w:t>
      </w:r>
      <w:r>
        <w:rPr>
          <w:rStyle w:val="18"/>
          <w:rFonts w:hint="eastAsia"/>
          <w:b/>
        </w:rPr>
        <w:t>地下水监测井设置与地下水采样</w:t>
      </w:r>
      <w:r>
        <w:tab/>
      </w:r>
      <w:r>
        <w:fldChar w:fldCharType="begin"/>
      </w:r>
      <w:r>
        <w:instrText xml:space="preserve"> PAGEREF _Toc532386773 \h </w:instrText>
      </w:r>
      <w:r>
        <w:fldChar w:fldCharType="separate"/>
      </w:r>
      <w:r>
        <w:t>42</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"_Toc532386774" </w:instrText>
      </w:r>
      <w:r>
        <w:fldChar w:fldCharType="separate"/>
      </w:r>
      <w:r>
        <w:rPr>
          <w:rStyle w:val="18"/>
          <w:b/>
        </w:rPr>
        <w:t>7.3</w:t>
      </w:r>
      <w:r>
        <w:rPr>
          <w:rStyle w:val="18"/>
          <w:rFonts w:hint="eastAsia"/>
          <w:b/>
        </w:rPr>
        <w:t>土壤气采样</w:t>
      </w:r>
      <w:r>
        <w:tab/>
      </w:r>
      <w:r>
        <w:fldChar w:fldCharType="begin"/>
      </w:r>
      <w:r>
        <w:instrText xml:space="preserve"> PAGEREF _Toc532386774 \h </w:instrText>
      </w:r>
      <w:r>
        <w:fldChar w:fldCharType="separate"/>
      </w:r>
      <w:r>
        <w:t>43</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"_Toc532386775" </w:instrText>
      </w:r>
      <w:r>
        <w:fldChar w:fldCharType="separate"/>
      </w:r>
      <w:r>
        <w:rPr>
          <w:rStyle w:val="18"/>
          <w:b/>
        </w:rPr>
        <w:t>7.4</w:t>
      </w:r>
      <w:r>
        <w:rPr>
          <w:rStyle w:val="18"/>
          <w:rFonts w:hint="eastAsia"/>
          <w:b/>
        </w:rPr>
        <w:t>样品采集质量保证和质量控制</w:t>
      </w:r>
      <w:r>
        <w:tab/>
      </w:r>
      <w:r>
        <w:fldChar w:fldCharType="begin"/>
      </w:r>
      <w:r>
        <w:instrText xml:space="preserve"> PAGEREF _Toc532386775 \h </w:instrText>
      </w:r>
      <w:r>
        <w:fldChar w:fldCharType="separate"/>
      </w:r>
      <w:r>
        <w:t>44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"_Toc532386776" </w:instrText>
      </w:r>
      <w:r>
        <w:fldChar w:fldCharType="separate"/>
      </w:r>
      <w:r>
        <w:rPr>
          <w:rStyle w:val="18"/>
        </w:rPr>
        <w:t>7.4.1</w:t>
      </w:r>
      <w:r>
        <w:rPr>
          <w:rStyle w:val="18"/>
          <w:rFonts w:hint="eastAsia"/>
        </w:rPr>
        <w:t>采样现场质量控制与管理</w:t>
      </w:r>
      <w:r>
        <w:tab/>
      </w:r>
      <w:r>
        <w:fldChar w:fldCharType="begin"/>
      </w:r>
      <w:r>
        <w:instrText xml:space="preserve"> PAGEREF _Toc532386776 \h </w:instrText>
      </w:r>
      <w:r>
        <w:fldChar w:fldCharType="separate"/>
      </w:r>
      <w:r>
        <w:t>44</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"_Toc532386777" </w:instrText>
      </w:r>
      <w:r>
        <w:fldChar w:fldCharType="separate"/>
      </w:r>
      <w:r>
        <w:rPr>
          <w:rStyle w:val="18"/>
        </w:rPr>
        <w:t>7.4.2</w:t>
      </w:r>
      <w:r>
        <w:rPr>
          <w:rStyle w:val="18"/>
          <w:rFonts w:hint="eastAsia"/>
        </w:rPr>
        <w:t>样品保存及流转中质量控制</w:t>
      </w:r>
      <w:r>
        <w:tab/>
      </w:r>
      <w:r>
        <w:fldChar w:fldCharType="begin"/>
      </w:r>
      <w:r>
        <w:instrText xml:space="preserve"> PAGEREF _Toc532386777 \h </w:instrText>
      </w:r>
      <w:r>
        <w:fldChar w:fldCharType="separate"/>
      </w:r>
      <w:r>
        <w:t>45</w:t>
      </w:r>
      <w:r>
        <w:fldChar w:fldCharType="end"/>
      </w:r>
      <w:r>
        <w:fldChar w:fldCharType="end"/>
      </w:r>
    </w:p>
    <w:p>
      <w:pPr>
        <w:pStyle w:val="9"/>
        <w:tabs>
          <w:tab w:val="right" w:leader="dot" w:pos="8834"/>
        </w:tabs>
        <w:rPr>
          <w:rFonts w:asciiTheme="minorHAnsi" w:hAnsiTheme="minorHAnsi" w:eastAsiaTheme="minorEastAsia" w:cstheme="minorBidi"/>
          <w:szCs w:val="22"/>
        </w:rPr>
      </w:pPr>
      <w:r>
        <w:fldChar w:fldCharType="begin"/>
      </w:r>
      <w:r>
        <w:instrText xml:space="preserve"> HYPERLINK \l "_Toc532386778" </w:instrText>
      </w:r>
      <w:r>
        <w:fldChar w:fldCharType="separate"/>
      </w:r>
      <w:r>
        <w:rPr>
          <w:rStyle w:val="18"/>
        </w:rPr>
        <w:t>7.4.3</w:t>
      </w:r>
      <w:r>
        <w:rPr>
          <w:rStyle w:val="18"/>
          <w:rFonts w:hint="eastAsia"/>
        </w:rPr>
        <w:t>样品保存方法</w:t>
      </w:r>
      <w:r>
        <w:tab/>
      </w:r>
      <w:r>
        <w:fldChar w:fldCharType="begin"/>
      </w:r>
      <w:r>
        <w:instrText xml:space="preserve"> PAGEREF _Toc532386778 \h </w:instrText>
      </w:r>
      <w:r>
        <w:fldChar w:fldCharType="separate"/>
      </w:r>
      <w:r>
        <w:t>45</w:t>
      </w:r>
      <w:r>
        <w:fldChar w:fldCharType="end"/>
      </w:r>
      <w:r>
        <w:fldChar w:fldCharType="end"/>
      </w:r>
    </w:p>
    <w:p>
      <w:pPr>
        <w:pStyle w:val="15"/>
        <w:tabs>
          <w:tab w:val="right" w:leader="dot" w:pos="8834"/>
        </w:tabs>
        <w:rPr>
          <w:rFonts w:asciiTheme="minorHAnsi" w:hAnsiTheme="minorHAnsi" w:eastAsiaTheme="minorEastAsia" w:cstheme="minorBidi"/>
          <w:szCs w:val="22"/>
        </w:rPr>
      </w:pPr>
      <w:r>
        <w:fldChar w:fldCharType="begin"/>
      </w:r>
      <w:r>
        <w:instrText xml:space="preserve"> HYPERLINK \l "_Toc532386779" </w:instrText>
      </w:r>
      <w:r>
        <w:fldChar w:fldCharType="separate"/>
      </w:r>
      <w:r>
        <w:rPr>
          <w:rStyle w:val="18"/>
          <w:b/>
        </w:rPr>
        <w:t xml:space="preserve">7.5 </w:t>
      </w:r>
      <w:r>
        <w:rPr>
          <w:rStyle w:val="18"/>
          <w:rFonts w:hint="eastAsia"/>
          <w:b/>
        </w:rPr>
        <w:t>实验室分析</w:t>
      </w:r>
      <w:r>
        <w:tab/>
      </w:r>
      <w:r>
        <w:fldChar w:fldCharType="begin"/>
      </w:r>
      <w:r>
        <w:instrText xml:space="preserve"> PAGEREF _Toc532386779 \h </w:instrText>
      </w:r>
      <w:r>
        <w:fldChar w:fldCharType="separate"/>
      </w:r>
      <w:r>
        <w:t>45</w:t>
      </w:r>
      <w:r>
        <w:fldChar w:fldCharType="end"/>
      </w:r>
      <w:r>
        <w:fldChar w:fldCharType="end"/>
      </w:r>
    </w:p>
    <w:p>
      <w:pPr>
        <w:spacing w:line="360" w:lineRule="auto"/>
        <w:rPr>
          <w:bCs/>
          <w:sz w:val="24"/>
        </w:rPr>
        <w:sectPr>
          <w:headerReference r:id="rId10" w:type="first"/>
          <w:headerReference r:id="rId9" w:type="default"/>
          <w:pgSz w:w="11906" w:h="16838"/>
          <w:pgMar w:top="1276" w:right="1474" w:bottom="1440" w:left="1588" w:header="851" w:footer="992" w:gutter="0"/>
          <w:pgNumType w:start="0"/>
          <w:cols w:space="720" w:num="1"/>
          <w:titlePg/>
          <w:docGrid w:type="lines" w:linePitch="312" w:charSpace="0"/>
        </w:sectPr>
      </w:pPr>
      <w:r>
        <w:rPr>
          <w:bCs/>
          <w:sz w:val="24"/>
        </w:rPr>
        <w:fldChar w:fldCharType="end"/>
      </w:r>
    </w:p>
    <w:p>
      <w:pPr>
        <w:adjustRightInd w:val="0"/>
        <w:snapToGrid w:val="0"/>
        <w:spacing w:line="360" w:lineRule="auto"/>
        <w:jc w:val="center"/>
        <w:outlineLvl w:val="0"/>
        <w:rPr>
          <w:b/>
          <w:sz w:val="36"/>
          <w:szCs w:val="36"/>
        </w:rPr>
      </w:pPr>
      <w:bookmarkStart w:id="1" w:name="_Toc532386741"/>
      <w:r>
        <w:rPr>
          <w:rFonts w:hint="eastAsia"/>
          <w:b/>
          <w:sz w:val="36"/>
          <w:szCs w:val="36"/>
        </w:rPr>
        <w:t>1、</w:t>
      </w:r>
      <w:r>
        <w:rPr>
          <w:b/>
          <w:sz w:val="36"/>
          <w:szCs w:val="36"/>
        </w:rPr>
        <w:t>前言</w:t>
      </w:r>
      <w:bookmarkEnd w:id="1"/>
    </w:p>
    <w:p>
      <w:pPr>
        <w:adjustRightInd w:val="0"/>
        <w:snapToGrid w:val="0"/>
        <w:spacing w:line="360" w:lineRule="auto"/>
        <w:ind w:firstLine="482"/>
        <w:rPr>
          <w:sz w:val="28"/>
          <w:szCs w:val="28"/>
        </w:rPr>
      </w:pPr>
      <w:r>
        <w:rPr>
          <w:rFonts w:hint="eastAsia"/>
          <w:sz w:val="28"/>
          <w:szCs w:val="28"/>
        </w:rPr>
        <w:t>深圳市天梁星生物科技有限公司，从事与健康产业相关的高新技术企业，注册资金5000万元。公司致力于人用药品、医药生物技术产品的基础研究与市场开发，主要研发方向是抗癌中药。为响应国家西部大开发战略，深圳市天梁星生物科技有限公司在峨眉山市工业集中区加工仓储物流园，投资建设峨眉山宏昇药业股份有限公司（原峨眉山天梁星制药有限公司，以下简称“宏昇药业”），进行新药研究开发中试生产项目。该项目在取得前置手续后于2011年8月开工，2012年10月投入生产。工程占地27.48亩（18320m</w:t>
      </w:r>
      <w:r>
        <w:rPr>
          <w:rFonts w:hint="eastAsia"/>
          <w:sz w:val="28"/>
          <w:szCs w:val="28"/>
          <w:vertAlign w:val="superscript"/>
        </w:rPr>
        <w:t>2</w:t>
      </w:r>
      <w:r>
        <w:rPr>
          <w:rFonts w:hint="eastAsia"/>
          <w:sz w:val="28"/>
          <w:szCs w:val="28"/>
        </w:rPr>
        <w:t>），建设有原料药车间、车间辅助设施及库房、中间体车间、质检中心、成品包材库及办公大楼等附属设施，开发试验生产瑞舒伐他汀钙原料药和坎地沙坦酯原料药。生产设备主要包括反应釜、槽罐、干燥器、冷凝器等。</w:t>
      </w:r>
    </w:p>
    <w:p>
      <w:pPr>
        <w:adjustRightInd w:val="0"/>
        <w:snapToGrid w:val="0"/>
        <w:spacing w:line="360" w:lineRule="auto"/>
        <w:ind w:firstLine="482"/>
        <w:rPr>
          <w:sz w:val="28"/>
          <w:szCs w:val="28"/>
        </w:rPr>
      </w:pPr>
      <w:r>
        <w:rPr>
          <w:rFonts w:hint="eastAsia"/>
          <w:sz w:val="28"/>
          <w:szCs w:val="28"/>
        </w:rPr>
        <w:t>近年来，随着环保工作要求的日益严格，土壤环境现状也愈发引起社会各界关注。</w:t>
      </w:r>
      <w:r>
        <w:rPr>
          <w:rFonts w:hint="eastAsia" w:ascii="宋体" w:hAnsi="宋体"/>
          <w:kern w:val="0"/>
          <w:sz w:val="28"/>
          <w:szCs w:val="28"/>
        </w:rPr>
        <w:t>2016年5月28日，国务院以国发〔2016〕31号文发布了《国务院关于印发土壤污染防治行动计划的通知》，同年12月29日，四川省人民政府以川府发〔2016〕63号文发布了《四川省人民政府关于印发土壤污染防治行动计划四川省工作方案的通知》，该通知要求：（一）开展土壤污染调查，掌握土壤环境质量状况；（二）推进土壤污染防治立法，建立健全法规标准体系；（三）实施农用地分类管理，保障农业生产环境安全；（四）实施建设用地准入管理，防范人居环境风险；（五）强化未污染土壤保护，严控新增土壤污染；（六）加强污染源监管，做好土壤污染预防工作；（七）开展污染治理与修复，改善区域土壤环境质量；（八）加大科技研发力度，推动环境保护产业发展；（九）发挥政府主导作用，构建土壤环境治理体系；（十）加强目标考核，严格责任追究。2018年9月18日，四川省环境保护厅办公室以川环办函〔2018〕446号文发布了《四川省环境保护厅办公室关于做好土壤污染重点监管单位土壤环境自行监测工作的通知》，该通知按照《四川省人民政府关于印发土壤污染防治行动计划四川省工作方案》及2018年度工作计划的要求，规定从2018年起，列入当年《四川省土壤污染重点监管单位名单》的企业要开展土壤环境自行监测工作，每年一次。</w:t>
      </w:r>
    </w:p>
    <w:p>
      <w:pPr>
        <w:adjustRightInd w:val="0"/>
        <w:snapToGrid w:val="0"/>
        <w:spacing w:line="360" w:lineRule="auto"/>
        <w:ind w:firstLine="480"/>
        <w:rPr>
          <w:sz w:val="28"/>
          <w:szCs w:val="28"/>
        </w:rPr>
      </w:pPr>
      <w:r>
        <w:rPr>
          <w:rFonts w:hint="eastAsia"/>
          <w:sz w:val="28"/>
          <w:szCs w:val="28"/>
        </w:rPr>
        <w:t>宏昇药业属于“2018年四川省土壤污染重点监管企业”中市控单位，为贯彻落实以上文件的相关要求，加强土壤隐患监督管理，防止和减少土壤污染事故的发生，宏昇药业</w:t>
      </w:r>
      <w:r>
        <w:rPr>
          <w:sz w:val="28"/>
          <w:szCs w:val="28"/>
        </w:rPr>
        <w:t>委托乐山金标环境监测中心有限公司开展相关工作</w:t>
      </w:r>
      <w:r>
        <w:rPr>
          <w:rFonts w:hint="eastAsia"/>
          <w:sz w:val="28"/>
          <w:szCs w:val="28"/>
        </w:rPr>
        <w:t>。</w:t>
      </w:r>
      <w:r>
        <w:rPr>
          <w:sz w:val="28"/>
          <w:szCs w:val="28"/>
        </w:rPr>
        <w:t>乐山金标环境监测中心有限公司参照《</w:t>
      </w:r>
      <w:r>
        <w:rPr>
          <w:rFonts w:hint="eastAsia"/>
          <w:sz w:val="28"/>
          <w:szCs w:val="28"/>
        </w:rPr>
        <w:t>北京市重点企业土壤环境自行监测技术指南（暂行）</w:t>
      </w:r>
      <w:r>
        <w:rPr>
          <w:sz w:val="28"/>
          <w:szCs w:val="28"/>
        </w:rPr>
        <w:t>》</w:t>
      </w:r>
      <w:r>
        <w:rPr>
          <w:rFonts w:hint="eastAsia"/>
          <w:sz w:val="28"/>
          <w:szCs w:val="28"/>
        </w:rPr>
        <w:t>，在资料搜集、现场踏勘、人员访谈以及对重点区域及设施识别的基础上</w:t>
      </w:r>
      <w:r>
        <w:rPr>
          <w:sz w:val="28"/>
          <w:szCs w:val="28"/>
        </w:rPr>
        <w:t>编制完成了</w:t>
      </w:r>
      <w:r>
        <w:rPr>
          <w:rFonts w:hint="eastAsia"/>
          <w:sz w:val="28"/>
          <w:szCs w:val="28"/>
        </w:rPr>
        <w:t>《峨眉山宏昇药业股份有限公司土壤环境自行监测方案》</w:t>
      </w:r>
      <w:r>
        <w:rPr>
          <w:sz w:val="28"/>
          <w:szCs w:val="28"/>
        </w:rPr>
        <w:t>。</w:t>
      </w:r>
    </w:p>
    <w:p>
      <w:pPr>
        <w:spacing w:line="360" w:lineRule="auto"/>
        <w:jc w:val="center"/>
        <w:outlineLvl w:val="0"/>
        <w:rPr>
          <w:b/>
          <w:sz w:val="36"/>
          <w:szCs w:val="36"/>
        </w:rPr>
      </w:pPr>
      <w:bookmarkStart w:id="2" w:name="_Toc432857180"/>
      <w:r>
        <w:rPr>
          <w:b/>
          <w:sz w:val="36"/>
          <w:szCs w:val="36"/>
        </w:rPr>
        <w:br w:type="page"/>
      </w:r>
      <w:bookmarkStart w:id="3" w:name="_Toc532386742"/>
      <w:r>
        <w:rPr>
          <w:b/>
          <w:sz w:val="36"/>
          <w:szCs w:val="36"/>
        </w:rPr>
        <w:t>2、概述</w:t>
      </w:r>
      <w:bookmarkEnd w:id="3"/>
    </w:p>
    <w:p>
      <w:pPr>
        <w:adjustRightInd w:val="0"/>
        <w:snapToGrid w:val="0"/>
        <w:spacing w:line="360" w:lineRule="auto"/>
        <w:outlineLvl w:val="1"/>
        <w:rPr>
          <w:b/>
          <w:sz w:val="28"/>
          <w:szCs w:val="28"/>
        </w:rPr>
      </w:pPr>
      <w:bookmarkStart w:id="4" w:name="_Toc532386743"/>
      <w:r>
        <w:rPr>
          <w:b/>
          <w:sz w:val="28"/>
          <w:szCs w:val="28"/>
        </w:rPr>
        <w:t xml:space="preserve">2.1 </w:t>
      </w:r>
      <w:r>
        <w:rPr>
          <w:rFonts w:hint="eastAsia"/>
          <w:b/>
          <w:sz w:val="28"/>
          <w:szCs w:val="28"/>
        </w:rPr>
        <w:t>编制</w:t>
      </w:r>
      <w:r>
        <w:rPr>
          <w:b/>
          <w:sz w:val="28"/>
          <w:szCs w:val="28"/>
        </w:rPr>
        <w:t>目的</w:t>
      </w:r>
      <w:bookmarkEnd w:id="4"/>
    </w:p>
    <w:p>
      <w:pPr>
        <w:adjustRightInd w:val="0"/>
        <w:snapToGrid w:val="0"/>
        <w:spacing w:line="360" w:lineRule="auto"/>
        <w:ind w:firstLine="480"/>
        <w:rPr>
          <w:sz w:val="28"/>
          <w:szCs w:val="28"/>
        </w:rPr>
      </w:pPr>
      <w:r>
        <w:rPr>
          <w:rFonts w:hint="eastAsia"/>
          <w:sz w:val="28"/>
          <w:szCs w:val="28"/>
        </w:rPr>
        <w:t>按照《四川省环境保护厅办公室关于做好土壤污染重点监管单位土壤环境自行监测工作的通知》（川环办函〔2018〕446号）的相关要求，开展本公司土壤环境自行监测工作，根据各区域及设施信息、特征污染物类型、污染物进入土壤和地下水的途径等，识别企业内部存在土壤及地下水污染隐患的区域及设施，作为重点区域及设施，在此基础上制定土壤环境自行监测方案，防范本公司建设用地新增土壤污染。</w:t>
      </w:r>
    </w:p>
    <w:p>
      <w:pPr>
        <w:adjustRightInd w:val="0"/>
        <w:snapToGrid w:val="0"/>
        <w:spacing w:line="360" w:lineRule="auto"/>
        <w:outlineLvl w:val="1"/>
        <w:rPr>
          <w:b/>
          <w:sz w:val="28"/>
          <w:szCs w:val="28"/>
        </w:rPr>
      </w:pPr>
      <w:bookmarkStart w:id="5" w:name="_Toc532386744"/>
      <w:r>
        <w:rPr>
          <w:b/>
          <w:sz w:val="28"/>
          <w:szCs w:val="28"/>
        </w:rPr>
        <w:t>2</w:t>
      </w:r>
      <w:r>
        <w:rPr>
          <w:rFonts w:hint="eastAsia"/>
          <w:b/>
          <w:sz w:val="28"/>
          <w:szCs w:val="28"/>
        </w:rPr>
        <w:t>.2编制原则</w:t>
      </w:r>
      <w:bookmarkEnd w:id="5"/>
    </w:p>
    <w:p>
      <w:pPr>
        <w:adjustRightInd w:val="0"/>
        <w:snapToGrid w:val="0"/>
        <w:spacing w:line="360" w:lineRule="auto"/>
        <w:ind w:firstLine="480"/>
        <w:rPr>
          <w:sz w:val="28"/>
          <w:szCs w:val="28"/>
        </w:rPr>
      </w:pPr>
      <w:r>
        <w:rPr>
          <w:sz w:val="28"/>
          <w:szCs w:val="28"/>
        </w:rPr>
        <w:t>（1）针对性原则</w:t>
      </w:r>
    </w:p>
    <w:p>
      <w:pPr>
        <w:adjustRightInd w:val="0"/>
        <w:snapToGrid w:val="0"/>
        <w:spacing w:line="360" w:lineRule="auto"/>
        <w:ind w:firstLine="480"/>
        <w:rPr>
          <w:sz w:val="28"/>
          <w:szCs w:val="28"/>
        </w:rPr>
      </w:pPr>
      <w:r>
        <w:rPr>
          <w:sz w:val="28"/>
          <w:szCs w:val="28"/>
        </w:rPr>
        <w:t>针对场地的特征和潜在污染物特性，进行污染物浓度和空间分布调查，为场地的环境管理提供依据。</w:t>
      </w:r>
    </w:p>
    <w:p>
      <w:pPr>
        <w:adjustRightInd w:val="0"/>
        <w:snapToGrid w:val="0"/>
        <w:spacing w:line="360" w:lineRule="auto"/>
        <w:ind w:firstLine="480"/>
        <w:rPr>
          <w:sz w:val="28"/>
          <w:szCs w:val="28"/>
        </w:rPr>
      </w:pPr>
      <w:r>
        <w:rPr>
          <w:sz w:val="28"/>
          <w:szCs w:val="28"/>
        </w:rPr>
        <w:t>（2）规范性原则</w:t>
      </w:r>
    </w:p>
    <w:p>
      <w:pPr>
        <w:adjustRightInd w:val="0"/>
        <w:snapToGrid w:val="0"/>
        <w:spacing w:line="360" w:lineRule="auto"/>
        <w:ind w:firstLine="480"/>
        <w:rPr>
          <w:sz w:val="28"/>
          <w:szCs w:val="28"/>
        </w:rPr>
      </w:pPr>
      <w:r>
        <w:rPr>
          <w:sz w:val="28"/>
          <w:szCs w:val="28"/>
        </w:rPr>
        <w:t>采用程序化和系统化的方式规范</w:t>
      </w:r>
      <w:r>
        <w:rPr>
          <w:rFonts w:hint="eastAsia"/>
          <w:sz w:val="28"/>
          <w:szCs w:val="28"/>
        </w:rPr>
        <w:t>重点</w:t>
      </w:r>
      <w:r>
        <w:rPr>
          <w:sz w:val="28"/>
          <w:szCs w:val="28"/>
        </w:rPr>
        <w:t>区域及设施的识别过程，保证调查过程的科学性和客观性。</w:t>
      </w:r>
    </w:p>
    <w:p>
      <w:pPr>
        <w:adjustRightInd w:val="0"/>
        <w:snapToGrid w:val="0"/>
        <w:spacing w:line="360" w:lineRule="auto"/>
        <w:ind w:firstLine="480"/>
        <w:rPr>
          <w:sz w:val="28"/>
          <w:szCs w:val="28"/>
        </w:rPr>
      </w:pPr>
      <w:r>
        <w:rPr>
          <w:sz w:val="28"/>
          <w:szCs w:val="28"/>
        </w:rPr>
        <w:t>（3）可操作性原则</w:t>
      </w:r>
    </w:p>
    <w:p>
      <w:pPr>
        <w:adjustRightInd w:val="0"/>
        <w:snapToGrid w:val="0"/>
        <w:spacing w:line="360" w:lineRule="auto"/>
        <w:ind w:firstLine="480"/>
        <w:rPr>
          <w:sz w:val="28"/>
          <w:szCs w:val="28"/>
        </w:rPr>
      </w:pPr>
      <w:r>
        <w:rPr>
          <w:sz w:val="28"/>
          <w:szCs w:val="28"/>
        </w:rPr>
        <w:t>综合考虑调查方法、时间和经费等因素，结合当前科技发展和专业技术水平，使调查过程切实可行。</w:t>
      </w:r>
    </w:p>
    <w:p>
      <w:pPr>
        <w:adjustRightInd w:val="0"/>
        <w:snapToGrid w:val="0"/>
        <w:spacing w:line="360" w:lineRule="auto"/>
        <w:outlineLvl w:val="1"/>
        <w:rPr>
          <w:b/>
          <w:sz w:val="28"/>
          <w:szCs w:val="28"/>
        </w:rPr>
      </w:pPr>
      <w:bookmarkStart w:id="6" w:name="_Toc532386745"/>
      <w:r>
        <w:rPr>
          <w:b/>
          <w:sz w:val="28"/>
          <w:szCs w:val="28"/>
        </w:rPr>
        <w:t>2.3 调查依据</w:t>
      </w:r>
      <w:bookmarkEnd w:id="6"/>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7" w:name="_Toc532386746"/>
      <w:r>
        <w:rPr>
          <w:rFonts w:ascii="Times New Roman" w:hAnsi="Times New Roman" w:cs="Times New Roman"/>
          <w:bCs w:val="0"/>
          <w:sz w:val="28"/>
          <w:szCs w:val="28"/>
        </w:rPr>
        <w:t>2.3.1法律法规及文件</w:t>
      </w:r>
      <w:bookmarkEnd w:id="7"/>
    </w:p>
    <w:p>
      <w:pPr>
        <w:adjustRightInd w:val="0"/>
        <w:snapToGrid w:val="0"/>
        <w:spacing w:line="360" w:lineRule="auto"/>
        <w:ind w:firstLine="560" w:firstLineChars="200"/>
        <w:rPr>
          <w:bCs/>
          <w:sz w:val="28"/>
          <w:szCs w:val="28"/>
        </w:rPr>
      </w:pPr>
      <w:r>
        <w:rPr>
          <w:rFonts w:hint="eastAsia"/>
          <w:bCs/>
          <w:sz w:val="28"/>
          <w:szCs w:val="28"/>
        </w:rPr>
        <w:t>（1）《中华人民共和国环境保护法》（2015年1月1日）；</w:t>
      </w:r>
    </w:p>
    <w:p>
      <w:pPr>
        <w:adjustRightInd w:val="0"/>
        <w:snapToGrid w:val="0"/>
        <w:spacing w:line="360" w:lineRule="auto"/>
        <w:ind w:firstLine="560" w:firstLineChars="200"/>
        <w:rPr>
          <w:bCs/>
          <w:sz w:val="28"/>
          <w:szCs w:val="28"/>
        </w:rPr>
      </w:pPr>
      <w:r>
        <w:rPr>
          <w:rFonts w:hint="eastAsia"/>
          <w:bCs/>
          <w:sz w:val="28"/>
          <w:szCs w:val="28"/>
        </w:rPr>
        <w:t>（2）《中华人民共和国固体废物污染环境防治法》（2016年11月修订）；</w:t>
      </w:r>
    </w:p>
    <w:p>
      <w:pPr>
        <w:adjustRightInd w:val="0"/>
        <w:snapToGrid w:val="0"/>
        <w:spacing w:line="360" w:lineRule="auto"/>
        <w:ind w:firstLine="560" w:firstLineChars="200"/>
        <w:rPr>
          <w:bCs/>
          <w:sz w:val="28"/>
          <w:szCs w:val="28"/>
        </w:rPr>
      </w:pPr>
      <w:r>
        <w:rPr>
          <w:rFonts w:hint="eastAsia"/>
          <w:bCs/>
          <w:sz w:val="28"/>
          <w:szCs w:val="28"/>
        </w:rPr>
        <w:t>（3）《污染地块土壤环境管理办法（试行）》（环境保护部令第42号）；</w:t>
      </w:r>
    </w:p>
    <w:p>
      <w:pPr>
        <w:adjustRightInd w:val="0"/>
        <w:snapToGrid w:val="0"/>
        <w:spacing w:line="360" w:lineRule="auto"/>
        <w:ind w:firstLine="560" w:firstLineChars="200"/>
        <w:rPr>
          <w:bCs/>
          <w:sz w:val="28"/>
          <w:szCs w:val="28"/>
        </w:rPr>
      </w:pPr>
      <w:r>
        <w:rPr>
          <w:rFonts w:hint="eastAsia"/>
          <w:bCs/>
          <w:sz w:val="28"/>
          <w:szCs w:val="28"/>
        </w:rPr>
        <w:t>（4）《土壤污染防治行动计划》（国发〔2016〕31号）；</w:t>
      </w:r>
    </w:p>
    <w:p>
      <w:pPr>
        <w:adjustRightInd w:val="0"/>
        <w:snapToGrid w:val="0"/>
        <w:spacing w:line="360" w:lineRule="auto"/>
        <w:ind w:firstLine="560" w:firstLineChars="200"/>
        <w:rPr>
          <w:bCs/>
          <w:sz w:val="28"/>
          <w:szCs w:val="28"/>
        </w:rPr>
      </w:pPr>
      <w:r>
        <w:rPr>
          <w:rFonts w:hint="eastAsia"/>
          <w:bCs/>
          <w:sz w:val="28"/>
          <w:szCs w:val="28"/>
        </w:rPr>
        <w:t>（5）《四川省人民政府关于印发土壤污染防治行动计划四川省工作方案的通知》（川府发〔2016〕63号）；</w:t>
      </w:r>
    </w:p>
    <w:p>
      <w:pPr>
        <w:adjustRightInd w:val="0"/>
        <w:snapToGrid w:val="0"/>
        <w:spacing w:line="360" w:lineRule="auto"/>
        <w:ind w:firstLine="560" w:firstLineChars="200"/>
        <w:rPr>
          <w:bCs/>
          <w:sz w:val="28"/>
          <w:szCs w:val="28"/>
        </w:rPr>
      </w:pPr>
      <w:r>
        <w:rPr>
          <w:rFonts w:hint="eastAsia"/>
          <w:bCs/>
          <w:sz w:val="28"/>
          <w:szCs w:val="28"/>
        </w:rPr>
        <w:t>（6）《四川省环境保护厅办公室关于做好土壤污染重点监管单位土壤环境自行监测工作的通知》（川环办函〔2018〕446号）；</w:t>
      </w:r>
    </w:p>
    <w:p>
      <w:pPr>
        <w:adjustRightInd w:val="0"/>
        <w:snapToGrid w:val="0"/>
        <w:spacing w:line="360" w:lineRule="auto"/>
        <w:ind w:firstLine="560" w:firstLineChars="200"/>
        <w:rPr>
          <w:bCs/>
          <w:sz w:val="28"/>
          <w:szCs w:val="28"/>
        </w:rPr>
      </w:pPr>
      <w:r>
        <w:rPr>
          <w:rFonts w:hint="eastAsia"/>
          <w:bCs/>
          <w:sz w:val="28"/>
          <w:szCs w:val="28"/>
        </w:rPr>
        <w:t>（7）《四川省“十三五”环境保护规划》（川府发〔2017〕14号）。</w:t>
      </w: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8" w:name="_Toc532386747"/>
      <w:r>
        <w:rPr>
          <w:rFonts w:ascii="Times New Roman" w:hAnsi="Times New Roman" w:cs="Times New Roman"/>
          <w:bCs w:val="0"/>
          <w:sz w:val="28"/>
          <w:szCs w:val="28"/>
        </w:rPr>
        <w:t>2.3.2标准</w:t>
      </w:r>
      <w:r>
        <w:rPr>
          <w:rFonts w:hint="eastAsia" w:ascii="Times New Roman" w:hAnsi="Times New Roman" w:cs="Times New Roman"/>
          <w:bCs w:val="0"/>
          <w:sz w:val="28"/>
          <w:szCs w:val="28"/>
        </w:rPr>
        <w:t>及</w:t>
      </w:r>
      <w:r>
        <w:rPr>
          <w:rFonts w:ascii="Times New Roman" w:hAnsi="Times New Roman" w:cs="Times New Roman"/>
          <w:bCs w:val="0"/>
          <w:sz w:val="28"/>
          <w:szCs w:val="28"/>
        </w:rPr>
        <w:t>规范</w:t>
      </w:r>
      <w:bookmarkEnd w:id="8"/>
    </w:p>
    <w:p>
      <w:pPr>
        <w:adjustRightInd w:val="0"/>
        <w:snapToGrid w:val="0"/>
        <w:spacing w:line="360" w:lineRule="auto"/>
        <w:ind w:firstLine="560" w:firstLineChars="200"/>
        <w:rPr>
          <w:sz w:val="28"/>
          <w:szCs w:val="28"/>
        </w:rPr>
      </w:pPr>
      <w:bookmarkStart w:id="9" w:name="_Toc472085755"/>
      <w:bookmarkStart w:id="10" w:name="_Toc958"/>
      <w:r>
        <w:rPr>
          <w:rFonts w:hint="eastAsia"/>
          <w:sz w:val="28"/>
          <w:szCs w:val="28"/>
        </w:rPr>
        <w:t>（1）《一般工业固体废物贮存、处置场污染控制标准》（GB18599-2001）；</w:t>
      </w:r>
    </w:p>
    <w:p>
      <w:pPr>
        <w:adjustRightInd w:val="0"/>
        <w:snapToGrid w:val="0"/>
        <w:spacing w:line="360" w:lineRule="auto"/>
        <w:ind w:firstLine="560" w:firstLineChars="200"/>
        <w:rPr>
          <w:sz w:val="28"/>
          <w:szCs w:val="28"/>
        </w:rPr>
      </w:pPr>
      <w:r>
        <w:rPr>
          <w:rFonts w:hint="eastAsia"/>
          <w:sz w:val="28"/>
          <w:szCs w:val="28"/>
        </w:rPr>
        <w:t>（2）《危险废物贮存污染控制标准》（GB 18597-2001）；</w:t>
      </w:r>
    </w:p>
    <w:p>
      <w:pPr>
        <w:adjustRightInd w:val="0"/>
        <w:snapToGrid w:val="0"/>
        <w:spacing w:line="360" w:lineRule="auto"/>
        <w:ind w:firstLine="560" w:firstLineChars="200"/>
        <w:rPr>
          <w:sz w:val="28"/>
          <w:szCs w:val="28"/>
        </w:rPr>
      </w:pPr>
      <w:r>
        <w:rPr>
          <w:rFonts w:hint="eastAsia"/>
          <w:sz w:val="28"/>
          <w:szCs w:val="28"/>
        </w:rPr>
        <w:t>（3）《危险废物收集贮存运输技术规范》（HJ2025-2012）；</w:t>
      </w:r>
    </w:p>
    <w:p>
      <w:pPr>
        <w:adjustRightInd w:val="0"/>
        <w:snapToGrid w:val="0"/>
        <w:spacing w:line="360" w:lineRule="auto"/>
        <w:ind w:firstLine="560" w:firstLineChars="200"/>
        <w:rPr>
          <w:sz w:val="28"/>
          <w:szCs w:val="28"/>
        </w:rPr>
      </w:pPr>
      <w:r>
        <w:rPr>
          <w:rFonts w:hint="eastAsia"/>
          <w:sz w:val="28"/>
          <w:szCs w:val="28"/>
        </w:rPr>
        <w:t>（4）《危险化学品名录（2015版）》；</w:t>
      </w:r>
    </w:p>
    <w:p>
      <w:pPr>
        <w:adjustRightInd w:val="0"/>
        <w:snapToGrid w:val="0"/>
        <w:spacing w:line="360" w:lineRule="auto"/>
        <w:ind w:firstLine="560" w:firstLineChars="200"/>
        <w:rPr>
          <w:sz w:val="28"/>
          <w:szCs w:val="28"/>
        </w:rPr>
      </w:pPr>
      <w:r>
        <w:rPr>
          <w:rFonts w:hint="eastAsia"/>
          <w:sz w:val="28"/>
          <w:szCs w:val="28"/>
        </w:rPr>
        <w:t>（5）《场地环境调查技术导则》（HJ25.1-2014）；</w:t>
      </w:r>
    </w:p>
    <w:p>
      <w:pPr>
        <w:adjustRightInd w:val="0"/>
        <w:snapToGrid w:val="0"/>
        <w:spacing w:line="360" w:lineRule="auto"/>
        <w:ind w:firstLine="560" w:firstLineChars="200"/>
        <w:rPr>
          <w:sz w:val="28"/>
          <w:szCs w:val="28"/>
        </w:rPr>
      </w:pPr>
      <w:r>
        <w:rPr>
          <w:rFonts w:hint="eastAsia"/>
          <w:sz w:val="28"/>
          <w:szCs w:val="28"/>
        </w:rPr>
        <w:t>（6）《场地环境监测技术导则》（</w:t>
      </w:r>
      <w:r>
        <w:rPr>
          <w:sz w:val="28"/>
          <w:szCs w:val="28"/>
        </w:rPr>
        <w:t>HJ 25.2-2014</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（7）《污染场地风险评估技术导则》（</w:t>
      </w:r>
      <w:r>
        <w:rPr>
          <w:sz w:val="28"/>
          <w:szCs w:val="28"/>
        </w:rPr>
        <w:t>HJ 25.3-2014</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（8）《土壤环境监测技术规范》</w:t>
      </w:r>
      <w:r>
        <w:rPr>
          <w:sz w:val="28"/>
          <w:szCs w:val="28"/>
        </w:rPr>
        <w:t>(HJ/T 166-2004)</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（9）《地下水环境监测技术规范》</w:t>
      </w:r>
      <w:r>
        <w:rPr>
          <w:sz w:val="28"/>
          <w:szCs w:val="28"/>
        </w:rPr>
        <w:t>(HJ/T 164-2004)</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（10）《土壤环境质量</w:t>
      </w:r>
      <w:r>
        <w:rPr>
          <w:sz w:val="28"/>
          <w:szCs w:val="28"/>
        </w:rPr>
        <w:t xml:space="preserve"> </w:t>
      </w:r>
      <w:r>
        <w:rPr>
          <w:rFonts w:hint="eastAsia"/>
          <w:sz w:val="28"/>
          <w:szCs w:val="28"/>
        </w:rPr>
        <w:t>建设用地土壤污染风险管控标准（试行）》（</w:t>
      </w:r>
      <w:r>
        <w:rPr>
          <w:sz w:val="28"/>
          <w:szCs w:val="28"/>
        </w:rPr>
        <w:t>GB36600-2018</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（11）《地下水环境监测技术规范》(HJ/T 164-2004)；</w:t>
      </w:r>
    </w:p>
    <w:p>
      <w:pPr>
        <w:adjustRightInd w:val="0"/>
        <w:snapToGrid w:val="0"/>
        <w:spacing w:line="360" w:lineRule="auto"/>
        <w:ind w:firstLine="560" w:firstLineChars="200"/>
        <w:rPr>
          <w:sz w:val="28"/>
          <w:szCs w:val="28"/>
        </w:rPr>
      </w:pPr>
      <w:r>
        <w:rPr>
          <w:rFonts w:hint="eastAsia"/>
          <w:sz w:val="28"/>
          <w:szCs w:val="28"/>
        </w:rPr>
        <w:t>（12）《地下水质量标准》（GB/T 14848-2017）。</w:t>
      </w: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11" w:name="_Toc532386748"/>
      <w:r>
        <w:rPr>
          <w:rFonts w:ascii="Times New Roman" w:hAnsi="Times New Roman" w:cs="Times New Roman"/>
          <w:bCs w:val="0"/>
          <w:sz w:val="28"/>
          <w:szCs w:val="28"/>
        </w:rPr>
        <w:t>2.3.3</w:t>
      </w:r>
      <w:bookmarkEnd w:id="9"/>
      <w:bookmarkEnd w:id="10"/>
      <w:r>
        <w:rPr>
          <w:rFonts w:hint="eastAsia" w:ascii="Times New Roman" w:hAnsi="Times New Roman" w:cs="Times New Roman"/>
          <w:bCs w:val="0"/>
          <w:sz w:val="28"/>
          <w:szCs w:val="28"/>
        </w:rPr>
        <w:t>技术指南</w:t>
      </w:r>
      <w:bookmarkEnd w:id="11"/>
    </w:p>
    <w:p>
      <w:pPr>
        <w:adjustRightInd w:val="0"/>
        <w:snapToGrid w:val="0"/>
        <w:spacing w:line="360" w:lineRule="auto"/>
        <w:ind w:firstLine="630" w:firstLineChars="225"/>
        <w:rPr>
          <w:sz w:val="28"/>
          <w:szCs w:val="28"/>
        </w:rPr>
      </w:pPr>
      <w:r>
        <w:rPr>
          <w:rFonts w:hint="eastAsia"/>
          <w:sz w:val="28"/>
          <w:szCs w:val="28"/>
        </w:rPr>
        <w:t>（1）《建设用地土壤环境调查评估技术指南》（环境保护部公告2017年第72号）；</w:t>
      </w:r>
    </w:p>
    <w:p>
      <w:pPr>
        <w:adjustRightInd w:val="0"/>
        <w:snapToGrid w:val="0"/>
        <w:spacing w:line="360" w:lineRule="auto"/>
        <w:ind w:firstLine="630" w:firstLineChars="225"/>
        <w:rPr>
          <w:sz w:val="28"/>
          <w:szCs w:val="28"/>
        </w:rPr>
      </w:pPr>
      <w:r>
        <w:rPr>
          <w:rFonts w:hint="eastAsia"/>
          <w:sz w:val="28"/>
          <w:szCs w:val="28"/>
        </w:rPr>
        <w:t>（2）</w:t>
      </w:r>
      <w:r>
        <w:rPr>
          <w:sz w:val="28"/>
          <w:szCs w:val="28"/>
        </w:rPr>
        <w:t>《</w:t>
      </w:r>
      <w:r>
        <w:rPr>
          <w:rFonts w:hint="eastAsia"/>
          <w:sz w:val="28"/>
          <w:szCs w:val="28"/>
        </w:rPr>
        <w:t>北京市重点企业土壤环境自行监测技术指南（暂行）</w:t>
      </w:r>
      <w:r>
        <w:rPr>
          <w:sz w:val="28"/>
          <w:szCs w:val="28"/>
        </w:rPr>
        <w:t>》</w:t>
      </w:r>
      <w:r>
        <w:rPr>
          <w:rFonts w:hint="eastAsia"/>
          <w:sz w:val="28"/>
          <w:szCs w:val="28"/>
        </w:rPr>
        <w:t>。</w:t>
      </w: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12" w:name="_Toc532386749"/>
      <w:r>
        <w:rPr>
          <w:rFonts w:ascii="Times New Roman" w:hAnsi="Times New Roman" w:cs="Times New Roman"/>
          <w:bCs w:val="0"/>
          <w:sz w:val="28"/>
          <w:szCs w:val="28"/>
        </w:rPr>
        <w:t>2.3.</w:t>
      </w:r>
      <w:r>
        <w:rPr>
          <w:rFonts w:hint="eastAsia" w:ascii="Times New Roman" w:hAnsi="Times New Roman" w:cs="Times New Roman"/>
          <w:bCs w:val="0"/>
          <w:sz w:val="28"/>
          <w:szCs w:val="28"/>
        </w:rPr>
        <w:t>4其他文件</w:t>
      </w:r>
      <w:bookmarkEnd w:id="12"/>
    </w:p>
    <w:p>
      <w:pPr>
        <w:adjustRightInd w:val="0"/>
        <w:snapToGrid w:val="0"/>
        <w:spacing w:line="360" w:lineRule="auto"/>
        <w:ind w:firstLine="630" w:firstLineChars="225"/>
        <w:rPr>
          <w:sz w:val="28"/>
          <w:szCs w:val="28"/>
        </w:rPr>
      </w:pPr>
      <w:r>
        <w:rPr>
          <w:rFonts w:hint="eastAsia"/>
          <w:sz w:val="28"/>
          <w:szCs w:val="28"/>
        </w:rPr>
        <w:t>（1）《新药研发中试生产项目环境影响报告表》（2011年4月）；</w:t>
      </w:r>
    </w:p>
    <w:p>
      <w:pPr>
        <w:adjustRightInd w:val="0"/>
        <w:snapToGrid w:val="0"/>
        <w:spacing w:line="360" w:lineRule="auto"/>
        <w:ind w:firstLine="630" w:firstLineChars="225"/>
        <w:rPr>
          <w:sz w:val="28"/>
          <w:szCs w:val="28"/>
        </w:rPr>
      </w:pPr>
      <w:r>
        <w:rPr>
          <w:rFonts w:hint="eastAsia"/>
          <w:sz w:val="28"/>
          <w:szCs w:val="28"/>
        </w:rPr>
        <w:t>（2）《关于峨眉山天梁星制药有限公司新药研发中试药生产项目环境影响报告表的批复》（峨市环建函[2011]96号）。</w:t>
      </w:r>
    </w:p>
    <w:p>
      <w:pPr>
        <w:adjustRightInd w:val="0"/>
        <w:snapToGrid w:val="0"/>
        <w:spacing w:line="360" w:lineRule="auto"/>
        <w:outlineLvl w:val="1"/>
        <w:rPr>
          <w:b/>
          <w:sz w:val="28"/>
          <w:szCs w:val="28"/>
        </w:rPr>
      </w:pPr>
      <w:bookmarkStart w:id="13" w:name="_Toc532386750"/>
      <w:r>
        <w:rPr>
          <w:b/>
          <w:sz w:val="28"/>
          <w:szCs w:val="28"/>
        </w:rPr>
        <w:t xml:space="preserve">2.4 </w:t>
      </w:r>
      <w:r>
        <w:rPr>
          <w:rFonts w:hint="eastAsia"/>
          <w:b/>
          <w:sz w:val="28"/>
          <w:szCs w:val="28"/>
        </w:rPr>
        <w:t>技术</w:t>
      </w:r>
      <w:r>
        <w:rPr>
          <w:b/>
          <w:sz w:val="28"/>
          <w:szCs w:val="28"/>
        </w:rPr>
        <w:t>路线</w:t>
      </w:r>
      <w:bookmarkEnd w:id="13"/>
    </w:p>
    <w:p>
      <w:pPr>
        <w:adjustRightInd w:val="0"/>
        <w:snapToGrid w:val="0"/>
        <w:spacing w:line="360" w:lineRule="auto"/>
        <w:ind w:firstLine="630" w:firstLineChars="225"/>
        <w:rPr>
          <w:sz w:val="28"/>
          <w:szCs w:val="28"/>
        </w:rPr>
      </w:pPr>
      <w:r>
        <w:rPr>
          <w:rFonts w:hint="eastAsia"/>
          <w:sz w:val="28"/>
          <w:szCs w:val="28"/>
        </w:rPr>
        <w:t>本次土壤环境自行监测方案的技术路线如图1-1所示</w:t>
      </w:r>
      <w:r>
        <w:rPr>
          <w:sz w:val="28"/>
          <w:szCs w:val="28"/>
        </w:rPr>
        <w:t>。</w:t>
      </w:r>
    </w:p>
    <w:p>
      <w:pPr>
        <w:spacing w:beforeLines="20" w:line="360" w:lineRule="auto"/>
        <w:jc w:val="center"/>
      </w:pPr>
      <w:r>
        <w:object>
          <v:shape id="_x0000_i1025" o:spt="75" type="#_x0000_t75" style="height:443.25pt;width:84pt;" o:ole="t" filled="f" o:preferrelative="t" stroked="f" coordsize="21600,21600">
            <v:path/>
            <v:fill on="f" focussize="0,0"/>
            <v:stroke on="f" joinstyle="miter"/>
            <v:imagedata r:id="rId19" o:title=""/>
            <o:lock v:ext="edit" aspectratio="t"/>
            <w10:wrap type="none"/>
            <w10:anchorlock/>
          </v:shape>
          <o:OLEObject Type="Embed" ProgID="Visio.Drawing.11" ShapeID="_x0000_i1025" DrawAspect="Content" ObjectID="_1468075725" r:id="rId18">
            <o:LockedField>false</o:LockedField>
          </o:OLEObject>
        </w:object>
      </w:r>
    </w:p>
    <w:p>
      <w:pPr>
        <w:spacing w:beforeLines="20" w:line="360" w:lineRule="auto"/>
        <w:jc w:val="center"/>
        <w:rPr>
          <w:b/>
          <w:sz w:val="24"/>
        </w:rPr>
      </w:pPr>
      <w:r>
        <w:rPr>
          <w:b/>
          <w:sz w:val="24"/>
        </w:rPr>
        <w:t>图2</w:t>
      </w:r>
      <w:r>
        <w:rPr>
          <w:rFonts w:hint="eastAsia"/>
          <w:b/>
          <w:sz w:val="24"/>
        </w:rPr>
        <w:t>-</w:t>
      </w:r>
      <w:r>
        <w:rPr>
          <w:b/>
          <w:sz w:val="24"/>
        </w:rPr>
        <w:t>1</w:t>
      </w:r>
      <w:r>
        <w:rPr>
          <w:rFonts w:hint="eastAsia"/>
          <w:b/>
          <w:sz w:val="24"/>
        </w:rPr>
        <w:t xml:space="preserve"> </w:t>
      </w:r>
      <w:r>
        <w:rPr>
          <w:b/>
          <w:sz w:val="24"/>
        </w:rPr>
        <w:t xml:space="preserve"> 场地环境调查的技术路线</w:t>
      </w: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14" w:name="_Toc532386751"/>
      <w:r>
        <w:rPr>
          <w:rFonts w:ascii="Times New Roman" w:hAnsi="Times New Roman" w:cs="Times New Roman"/>
          <w:bCs w:val="0"/>
          <w:sz w:val="28"/>
          <w:szCs w:val="28"/>
        </w:rPr>
        <w:t>2.4.1资料收集分析</w:t>
      </w:r>
      <w:bookmarkEnd w:id="14"/>
    </w:p>
    <w:p>
      <w:pPr>
        <w:adjustRightInd w:val="0"/>
        <w:snapToGrid w:val="0"/>
        <w:spacing w:line="360" w:lineRule="auto"/>
        <w:ind w:firstLine="560" w:firstLineChars="200"/>
        <w:rPr>
          <w:sz w:val="28"/>
          <w:szCs w:val="28"/>
        </w:rPr>
      </w:pPr>
      <w:r>
        <w:rPr>
          <w:rFonts w:hint="eastAsia"/>
          <w:sz w:val="28"/>
          <w:szCs w:val="28"/>
        </w:rPr>
        <w:t>搜集的资料主要包括企业基本信息、企业内各区域及设施信息、迁移途径信息、敏感受体信息、地块已有的环境调查与监测信息等（具体见表2-1）。</w:t>
      </w:r>
    </w:p>
    <w:p>
      <w:pPr>
        <w:adjustRightInd w:val="0"/>
        <w:snapToGrid w:val="0"/>
        <w:jc w:val="center"/>
        <w:rPr>
          <w:rFonts w:ascii="宋体" w:hAnsi="宋体"/>
          <w:b/>
          <w:sz w:val="24"/>
        </w:rPr>
      </w:pPr>
      <w:r>
        <w:rPr>
          <w:rFonts w:hint="eastAsia" w:ascii="宋体" w:hAnsi="宋体"/>
          <w:b/>
          <w:sz w:val="24"/>
        </w:rPr>
        <w:t>表</w:t>
      </w:r>
      <w:r>
        <w:rPr>
          <w:b/>
          <w:sz w:val="24"/>
        </w:rPr>
        <w:t xml:space="preserve">2-1 </w:t>
      </w:r>
      <w:r>
        <w:rPr>
          <w:rFonts w:hint="eastAsia" w:ascii="宋体" w:hAnsi="宋体"/>
          <w:b/>
          <w:sz w:val="24"/>
        </w:rPr>
        <w:t>应搜集的资料清单</w:t>
      </w:r>
    </w:p>
    <w:tbl>
      <w:tblPr>
        <w:tblStyle w:val="19"/>
        <w:tblW w:w="9060" w:type="dxa"/>
        <w:jc w:val="center"/>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1229"/>
        <w:gridCol w:w="3719"/>
        <w:gridCol w:w="2477"/>
        <w:gridCol w:w="1635"/>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1229" w:type="dxa"/>
            <w:tcBorders>
              <w:top w:val="single" w:color="000000" w:sz="12" w:space="0"/>
              <w:left w:val="single" w:color="000000" w:sz="12" w:space="0"/>
              <w:bottom w:val="single" w:color="000000" w:sz="12" w:space="0"/>
              <w:right w:val="single" w:color="000000" w:sz="6" w:space="0"/>
            </w:tcBorders>
            <w:vAlign w:val="center"/>
          </w:tcPr>
          <w:p>
            <w:pPr>
              <w:adjustRightInd w:val="0"/>
              <w:snapToGrid w:val="0"/>
              <w:spacing w:line="360" w:lineRule="exact"/>
              <w:jc w:val="center"/>
              <w:rPr>
                <w:rFonts w:ascii="宋体" w:hAnsi="宋体"/>
                <w:b/>
                <w:sz w:val="24"/>
              </w:rPr>
            </w:pPr>
            <w:r>
              <w:rPr>
                <w:rFonts w:hint="eastAsia" w:ascii="宋体" w:hAnsi="宋体"/>
                <w:b/>
                <w:sz w:val="24"/>
              </w:rPr>
              <w:t>分类</w:t>
            </w:r>
          </w:p>
        </w:tc>
        <w:tc>
          <w:tcPr>
            <w:tcW w:w="3719" w:type="dxa"/>
            <w:tcBorders>
              <w:top w:val="single" w:color="000000" w:sz="12" w:space="0"/>
              <w:left w:val="single" w:color="000000" w:sz="6" w:space="0"/>
              <w:bottom w:val="single" w:color="000000" w:sz="12" w:space="0"/>
              <w:right w:val="single" w:color="000000" w:sz="6" w:space="0"/>
            </w:tcBorders>
            <w:vAlign w:val="center"/>
          </w:tcPr>
          <w:p>
            <w:pPr>
              <w:adjustRightInd w:val="0"/>
              <w:snapToGrid w:val="0"/>
              <w:spacing w:line="360" w:lineRule="exact"/>
              <w:jc w:val="center"/>
              <w:rPr>
                <w:rFonts w:ascii="宋体" w:hAnsi="宋体"/>
                <w:b/>
                <w:sz w:val="24"/>
              </w:rPr>
            </w:pPr>
            <w:r>
              <w:rPr>
                <w:rFonts w:hint="eastAsia" w:ascii="宋体" w:hAnsi="宋体"/>
                <w:b/>
                <w:sz w:val="24"/>
              </w:rPr>
              <w:t>信息项目</w:t>
            </w:r>
          </w:p>
        </w:tc>
        <w:tc>
          <w:tcPr>
            <w:tcW w:w="2477" w:type="dxa"/>
            <w:tcBorders>
              <w:top w:val="single" w:color="000000" w:sz="12" w:space="0"/>
              <w:left w:val="single" w:color="000000" w:sz="6" w:space="0"/>
              <w:bottom w:val="single" w:color="000000" w:sz="12" w:space="0"/>
              <w:right w:val="single" w:color="000000" w:sz="6" w:space="0"/>
            </w:tcBorders>
            <w:vAlign w:val="center"/>
          </w:tcPr>
          <w:p>
            <w:pPr>
              <w:adjustRightInd w:val="0"/>
              <w:snapToGrid w:val="0"/>
              <w:spacing w:line="360" w:lineRule="exact"/>
              <w:jc w:val="center"/>
              <w:rPr>
                <w:rFonts w:ascii="宋体" w:hAnsi="宋体"/>
                <w:b/>
                <w:sz w:val="24"/>
              </w:rPr>
            </w:pPr>
            <w:r>
              <w:rPr>
                <w:rFonts w:hint="eastAsia" w:ascii="宋体" w:hAnsi="宋体"/>
                <w:b/>
                <w:sz w:val="24"/>
              </w:rPr>
              <w:t>目的</w:t>
            </w:r>
          </w:p>
        </w:tc>
        <w:tc>
          <w:tcPr>
            <w:tcW w:w="1635" w:type="dxa"/>
            <w:tcBorders>
              <w:top w:val="single" w:color="000000" w:sz="12" w:space="0"/>
              <w:left w:val="single" w:color="000000" w:sz="6" w:space="0"/>
              <w:bottom w:val="single" w:color="000000" w:sz="12" w:space="0"/>
              <w:right w:val="single" w:color="000000" w:sz="12" w:space="0"/>
            </w:tcBorders>
            <w:vAlign w:val="center"/>
          </w:tcPr>
          <w:p>
            <w:pPr>
              <w:adjustRightInd w:val="0"/>
              <w:snapToGrid w:val="0"/>
              <w:spacing w:line="360" w:lineRule="exact"/>
              <w:jc w:val="center"/>
              <w:rPr>
                <w:rFonts w:ascii="宋体" w:hAnsi="宋体"/>
                <w:b/>
                <w:sz w:val="24"/>
              </w:rPr>
            </w:pPr>
            <w:r>
              <w:rPr>
                <w:rFonts w:hint="eastAsia" w:ascii="宋体" w:hAnsi="宋体"/>
                <w:b/>
                <w:sz w:val="24"/>
              </w:rPr>
              <w:t>获取来源</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29" w:type="dxa"/>
            <w:tcBorders>
              <w:top w:val="single" w:color="000000" w:sz="12" w:space="0"/>
              <w:left w:val="single" w:color="000000" w:sz="12"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sz w:val="24"/>
              </w:rPr>
            </w:pPr>
            <w:r>
              <w:rPr>
                <w:rFonts w:hint="eastAsia" w:ascii="宋体" w:hAnsi="宋体"/>
                <w:kern w:val="0"/>
                <w:sz w:val="24"/>
              </w:rPr>
              <w:t>企业基本信息</w:t>
            </w:r>
          </w:p>
        </w:tc>
        <w:tc>
          <w:tcPr>
            <w:tcW w:w="3719" w:type="dxa"/>
            <w:tcBorders>
              <w:top w:val="single" w:color="000000" w:sz="12"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企业名称、法定代表人、地址、地理位置、企业类型、企业规模、营业期限、行业类别、行业代码、所属工业园区或集聚区；</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地块面积、现使用权属、地块利用历史等</w:t>
            </w:r>
          </w:p>
        </w:tc>
        <w:tc>
          <w:tcPr>
            <w:tcW w:w="2477" w:type="dxa"/>
            <w:tcBorders>
              <w:top w:val="single" w:color="000000" w:sz="12"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确定企业位置、企业负责人、基本规模、所属行业、经营时间、地块权属、地块历史等信息</w:t>
            </w:r>
          </w:p>
        </w:tc>
        <w:tc>
          <w:tcPr>
            <w:tcW w:w="1635" w:type="dxa"/>
            <w:tcBorders>
              <w:top w:val="single" w:color="000000" w:sz="12" w:space="0"/>
              <w:left w:val="single" w:color="000000" w:sz="6" w:space="0"/>
              <w:bottom w:val="single" w:color="000000" w:sz="6" w:space="0"/>
              <w:right w:val="single" w:color="000000" w:sz="12"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企业、土地行政主管部门、国土资源、发展改革、规划等部门</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29"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企业内各区域及设施信息</w:t>
            </w:r>
          </w:p>
        </w:tc>
        <w:tc>
          <w:tcPr>
            <w:tcW w:w="3719"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企业总平面布置图及面积；</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生产区、储存区、废水治理区、固体废物贮存或处置区等重点区域平面布置图及面积；</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地上和地下罐槽清单；</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涉及有毒有害物质的管线平面图；</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工艺流程图；</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各厂房或设施的功能；使用、贮存、转运或产出的原辅材料、中间产品和最终产品清单；</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废气、废水、固体废物收集、排放及处理情况</w:t>
            </w:r>
          </w:p>
        </w:tc>
        <w:tc>
          <w:tcPr>
            <w:tcW w:w="24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确定企业和各车间平面布置及面积；各区域或设施涉及工艺流程；原辅材料、中间产品和最终产品使用、贮存、转运或产出情况；三废处理及排放情况。便于识别存在污染隐患的区域或设施及相应特征污染物</w:t>
            </w:r>
          </w:p>
        </w:tc>
        <w:tc>
          <w:tcPr>
            <w:tcW w:w="1635" w:type="dxa"/>
            <w:tcBorders>
              <w:top w:val="single" w:color="000000" w:sz="6" w:space="0"/>
              <w:left w:val="single" w:color="000000" w:sz="6" w:space="0"/>
              <w:bottom w:val="single" w:color="000000" w:sz="6" w:space="0"/>
              <w:right w:val="single" w:color="000000" w:sz="12"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企业、环保部门、安监部门</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29"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迁移途径信息</w:t>
            </w:r>
          </w:p>
        </w:tc>
        <w:tc>
          <w:tcPr>
            <w:tcW w:w="3719"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地层结构、土壤质地、地面覆盖、土壤分层情况；</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地下水埋深/分布/流向/渗透性等特性</w:t>
            </w:r>
          </w:p>
        </w:tc>
        <w:tc>
          <w:tcPr>
            <w:tcW w:w="24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确定企业水文地质情况，便于识别污染源迁移途径</w:t>
            </w:r>
          </w:p>
        </w:tc>
        <w:tc>
          <w:tcPr>
            <w:tcW w:w="1635" w:type="dxa"/>
            <w:tcBorders>
              <w:top w:val="single" w:color="000000" w:sz="6" w:space="0"/>
              <w:left w:val="single" w:color="000000" w:sz="6" w:space="0"/>
              <w:bottom w:val="single" w:color="000000" w:sz="6" w:space="0"/>
              <w:right w:val="single" w:color="000000" w:sz="12"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29" w:type="dxa"/>
            <w:tcBorders>
              <w:top w:val="single" w:color="000000" w:sz="6" w:space="0"/>
              <w:left w:val="single" w:color="000000" w:sz="12"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敏感受体信息</w:t>
            </w:r>
          </w:p>
        </w:tc>
        <w:tc>
          <w:tcPr>
            <w:tcW w:w="3719"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人口数量、敏感目标分布、地下水用途等</w:t>
            </w:r>
          </w:p>
        </w:tc>
        <w:tc>
          <w:tcPr>
            <w:tcW w:w="2477"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便于确定所在地土壤及地下水相关标准或风险评估筛选值</w:t>
            </w:r>
          </w:p>
        </w:tc>
        <w:tc>
          <w:tcPr>
            <w:tcW w:w="1635" w:type="dxa"/>
            <w:tcBorders>
              <w:top w:val="single" w:color="000000" w:sz="6" w:space="0"/>
              <w:left w:val="single" w:color="000000" w:sz="6" w:space="0"/>
              <w:bottom w:val="single" w:color="000000" w:sz="6" w:space="0"/>
              <w:right w:val="single" w:color="000000" w:sz="12"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企业、环保部门</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29" w:type="dxa"/>
            <w:tcBorders>
              <w:top w:val="single" w:color="000000" w:sz="6" w:space="0"/>
              <w:left w:val="single" w:color="000000" w:sz="12" w:space="0"/>
              <w:bottom w:val="single" w:color="000000" w:sz="12"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已有的环境调查与监测信息</w:t>
            </w:r>
          </w:p>
        </w:tc>
        <w:tc>
          <w:tcPr>
            <w:tcW w:w="3719" w:type="dxa"/>
            <w:tcBorders>
              <w:top w:val="single" w:color="000000" w:sz="6" w:space="0"/>
              <w:left w:val="single" w:color="000000" w:sz="6" w:space="0"/>
              <w:bottom w:val="single" w:color="000000" w:sz="12"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土壤和地下水环境调查监测数据；</w:t>
            </w:r>
          </w:p>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其它调查评估数据</w:t>
            </w:r>
          </w:p>
        </w:tc>
        <w:tc>
          <w:tcPr>
            <w:tcW w:w="2477" w:type="dxa"/>
            <w:tcBorders>
              <w:top w:val="single" w:color="000000" w:sz="6" w:space="0"/>
              <w:left w:val="single" w:color="000000" w:sz="6" w:space="0"/>
              <w:bottom w:val="single" w:color="000000" w:sz="12" w:space="0"/>
              <w:right w:val="single" w:color="000000" w:sz="6"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尽可能搜集相关辅助资料</w:t>
            </w:r>
          </w:p>
        </w:tc>
        <w:tc>
          <w:tcPr>
            <w:tcW w:w="1635" w:type="dxa"/>
            <w:tcBorders>
              <w:top w:val="single" w:color="000000" w:sz="6" w:space="0"/>
              <w:left w:val="single" w:color="000000" w:sz="6" w:space="0"/>
              <w:bottom w:val="single" w:color="000000" w:sz="12" w:space="0"/>
              <w:right w:val="single" w:color="000000" w:sz="12" w:space="0"/>
            </w:tcBorders>
            <w:vAlign w:val="center"/>
          </w:tcPr>
          <w:p>
            <w:pPr>
              <w:autoSpaceDE w:val="0"/>
              <w:autoSpaceDN w:val="0"/>
              <w:adjustRightInd w:val="0"/>
              <w:snapToGrid w:val="0"/>
              <w:spacing w:line="360" w:lineRule="exact"/>
              <w:jc w:val="center"/>
              <w:rPr>
                <w:rFonts w:ascii="宋体" w:hAnsi="宋体"/>
                <w:kern w:val="0"/>
                <w:sz w:val="24"/>
              </w:rPr>
            </w:pPr>
            <w:r>
              <w:rPr>
                <w:rFonts w:hint="eastAsia" w:ascii="宋体" w:hAnsi="宋体"/>
                <w:kern w:val="0"/>
                <w:sz w:val="24"/>
              </w:rPr>
              <w:t>企业、环保部门、土地行政主管部门等</w:t>
            </w:r>
          </w:p>
        </w:tc>
      </w:tr>
    </w:tbl>
    <w:p>
      <w:pPr>
        <w:adjustRightInd w:val="0"/>
        <w:snapToGrid w:val="0"/>
        <w:spacing w:line="360" w:lineRule="auto"/>
        <w:ind w:firstLine="482" w:firstLineChars="200"/>
        <w:rPr>
          <w:b/>
          <w:bCs/>
          <w:sz w:val="24"/>
        </w:rPr>
      </w:pPr>
    </w:p>
    <w:p>
      <w:pPr>
        <w:adjustRightInd w:val="0"/>
        <w:snapToGrid w:val="0"/>
        <w:spacing w:line="360" w:lineRule="auto"/>
        <w:ind w:firstLine="560" w:firstLineChars="200"/>
        <w:jc w:val="center"/>
        <w:outlineLvl w:val="0"/>
        <w:rPr>
          <w:sz w:val="24"/>
        </w:rPr>
      </w:pPr>
      <w:r>
        <w:rPr>
          <w:bCs/>
          <w:sz w:val="28"/>
          <w:szCs w:val="28"/>
        </w:rPr>
        <w:br w:type="page"/>
      </w:r>
      <w:bookmarkStart w:id="15" w:name="_Toc532386752"/>
      <w:r>
        <w:rPr>
          <w:b/>
          <w:sz w:val="36"/>
          <w:szCs w:val="36"/>
        </w:rPr>
        <w:t>3、场地概况</w:t>
      </w:r>
      <w:bookmarkEnd w:id="15"/>
    </w:p>
    <w:p>
      <w:pPr>
        <w:adjustRightInd w:val="0"/>
        <w:snapToGrid w:val="0"/>
        <w:spacing w:line="360" w:lineRule="auto"/>
        <w:outlineLvl w:val="1"/>
        <w:rPr>
          <w:b/>
          <w:sz w:val="28"/>
          <w:szCs w:val="28"/>
        </w:rPr>
      </w:pPr>
      <w:bookmarkStart w:id="16" w:name="_Toc532386753"/>
      <w:r>
        <w:rPr>
          <w:b/>
          <w:sz w:val="28"/>
          <w:szCs w:val="28"/>
        </w:rPr>
        <w:t>3.1 区域环境状况</w:t>
      </w:r>
      <w:bookmarkEnd w:id="16"/>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17" w:name="_Toc532386754"/>
      <w:r>
        <w:rPr>
          <w:rFonts w:ascii="Times New Roman" w:hAnsi="Times New Roman" w:cs="Times New Roman"/>
          <w:bCs w:val="0"/>
          <w:sz w:val="28"/>
          <w:szCs w:val="28"/>
        </w:rPr>
        <w:t>3.1.1地理位置</w:t>
      </w:r>
      <w:bookmarkEnd w:id="17"/>
    </w:p>
    <w:p>
      <w:pPr>
        <w:adjustRightInd w:val="0"/>
        <w:snapToGrid w:val="0"/>
        <w:spacing w:line="360" w:lineRule="auto"/>
        <w:ind w:firstLine="480" w:firstLineChars="200"/>
        <w:jc w:val="left"/>
        <w:rPr>
          <w:sz w:val="28"/>
          <w:szCs w:val="32"/>
        </w:rPr>
      </w:pPr>
      <w:r>
        <w:rPr>
          <w:sz w:val="24"/>
        </w:rPr>
        <w:drawing>
          <wp:anchor distT="0" distB="0" distL="114300" distR="114300" simplePos="0" relativeHeight="251657216" behindDoc="0" locked="0" layoutInCell="1" allowOverlap="1">
            <wp:simplePos x="0" y="0"/>
            <wp:positionH relativeFrom="margin">
              <wp:posOffset>-187960</wp:posOffset>
            </wp:positionH>
            <wp:positionV relativeFrom="margin">
              <wp:posOffset>3616960</wp:posOffset>
            </wp:positionV>
            <wp:extent cx="6029325" cy="3419475"/>
            <wp:effectExtent l="0" t="0" r="9525" b="9525"/>
            <wp:wrapSquare wrapText="bothSides"/>
            <wp:docPr id="5"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02"/>
                    <pic:cNvPicPr>
                      <a:picLocks noChangeAspect="1"/>
                    </pic:cNvPicPr>
                  </pic:nvPicPr>
                  <pic:blipFill>
                    <a:blip r:embed="rId20" cstate="print"/>
                    <a:stretch>
                      <a:fillRect/>
                    </a:stretch>
                  </pic:blipFill>
                  <pic:spPr>
                    <a:xfrm>
                      <a:off x="0" y="0"/>
                      <a:ext cx="6029325" cy="3419475"/>
                    </a:xfrm>
                    <a:prstGeom prst="rect">
                      <a:avLst/>
                    </a:prstGeom>
                    <a:noFill/>
                    <a:ln w="9525">
                      <a:noFill/>
                    </a:ln>
                  </pic:spPr>
                </pic:pic>
              </a:graphicData>
            </a:graphic>
          </wp:anchor>
        </w:drawing>
      </w:r>
      <w:r>
        <w:rPr>
          <w:rFonts w:hint="eastAsia"/>
          <w:sz w:val="28"/>
          <w:szCs w:val="32"/>
        </w:rPr>
        <w:t>峨眉山市地处四川就地回南部，乐山市西部。属于大小凉山与川西平原的过渡地带，距离成都 168 公里。市境东邻乐山市沙湾，南接峨边，西毗洪雅，北裹夹江，峨眉山市东西宽约 25 公里，南北长 46 公里，形似一个东北之西南的不规则的长方形。全市辐员面积 1168 平方公里，其中山区面积约占面积的四分之三。峨眉山市现有中心镇一个，即绥山镇（市政府所在地），辖12个镇、6个乡，245个行政村、19个社区。</w:t>
      </w:r>
    </w:p>
    <w:p>
      <w:pPr>
        <w:adjustRightInd w:val="0"/>
        <w:snapToGrid w:val="0"/>
        <w:spacing w:line="360" w:lineRule="auto"/>
        <w:ind w:firstLine="560" w:firstLineChars="200"/>
        <w:jc w:val="left"/>
        <w:rPr>
          <w:sz w:val="28"/>
          <w:szCs w:val="32"/>
        </w:rPr>
      </w:pPr>
      <w:r>
        <w:rPr>
          <w:rFonts w:hint="eastAsia"/>
          <w:sz w:val="28"/>
          <w:szCs w:val="32"/>
        </w:rPr>
        <w:t>本项目位于峨眉山市工业集中区加工仓储物流园，地理位置见附图。</w:t>
      </w:r>
    </w:p>
    <w:p>
      <w:pPr>
        <w:adjustRightInd w:val="0"/>
        <w:snapToGrid w:val="0"/>
        <w:spacing w:line="360" w:lineRule="auto"/>
        <w:ind w:firstLine="480" w:firstLineChars="200"/>
        <w:jc w:val="center"/>
        <w:rPr>
          <w:sz w:val="24"/>
        </w:rPr>
      </w:pPr>
      <w:r>
        <w:rPr>
          <w:sz w:val="24"/>
        </w:rPr>
        <w:t>图3</w:t>
      </w:r>
      <w:r>
        <w:rPr>
          <w:rFonts w:hint="eastAsia"/>
          <w:sz w:val="24"/>
        </w:rPr>
        <w:t>-</w:t>
      </w:r>
      <w:r>
        <w:rPr>
          <w:sz w:val="24"/>
        </w:rPr>
        <w:t xml:space="preserve">1 </w:t>
      </w:r>
      <w:r>
        <w:rPr>
          <w:rFonts w:hint="eastAsia"/>
          <w:sz w:val="24"/>
        </w:rPr>
        <w:t>宏昇药业</w:t>
      </w:r>
      <w:r>
        <w:rPr>
          <w:sz w:val="24"/>
        </w:rPr>
        <w:t>厂区地理位置图</w:t>
      </w:r>
    </w:p>
    <w:p>
      <w:pPr>
        <w:spacing w:line="360" w:lineRule="auto"/>
        <w:jc w:val="center"/>
        <w:rPr>
          <w:sz w:val="24"/>
        </w:rPr>
      </w:pP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18" w:name="_Toc532386755"/>
      <w:r>
        <w:rPr>
          <w:rFonts w:ascii="Times New Roman" w:hAnsi="Times New Roman" w:cs="Times New Roman"/>
          <w:bCs w:val="0"/>
          <w:sz w:val="28"/>
          <w:szCs w:val="28"/>
        </w:rPr>
        <w:t>3.1.2地形地貌、地质情况</w:t>
      </w:r>
      <w:bookmarkEnd w:id="18"/>
    </w:p>
    <w:p>
      <w:pPr>
        <w:adjustRightInd w:val="0"/>
        <w:snapToGrid w:val="0"/>
        <w:spacing w:line="360" w:lineRule="auto"/>
        <w:ind w:firstLine="560" w:firstLineChars="200"/>
        <w:rPr>
          <w:sz w:val="28"/>
          <w:szCs w:val="28"/>
        </w:rPr>
      </w:pPr>
      <w:r>
        <w:rPr>
          <w:sz w:val="28"/>
          <w:szCs w:val="28"/>
        </w:rPr>
        <w:t>宏昇药业位于</w:t>
      </w:r>
      <w:r>
        <w:rPr>
          <w:rFonts w:hint="eastAsia"/>
          <w:sz w:val="28"/>
          <w:szCs w:val="28"/>
        </w:rPr>
        <w:t>峨眉</w:t>
      </w:r>
      <w:r>
        <w:rPr>
          <w:sz w:val="28"/>
          <w:szCs w:val="28"/>
        </w:rPr>
        <w:t>胜利镇红星村二</w:t>
      </w:r>
      <w:r>
        <w:rPr>
          <w:rFonts w:hint="eastAsia"/>
          <w:sz w:val="28"/>
          <w:szCs w:val="28"/>
        </w:rPr>
        <w:t>、</w:t>
      </w:r>
      <w:r>
        <w:rPr>
          <w:sz w:val="28"/>
          <w:szCs w:val="28"/>
        </w:rPr>
        <w:t>八组地段</w:t>
      </w:r>
      <w:r>
        <w:rPr>
          <w:rFonts w:hint="eastAsia"/>
          <w:sz w:val="28"/>
          <w:szCs w:val="28"/>
        </w:rPr>
        <w:t>，</w:t>
      </w:r>
      <w:r>
        <w:rPr>
          <w:sz w:val="28"/>
          <w:szCs w:val="28"/>
        </w:rPr>
        <w:t>红星中路以东</w:t>
      </w:r>
      <w:r>
        <w:rPr>
          <w:rFonts w:hint="eastAsia"/>
          <w:sz w:val="28"/>
          <w:szCs w:val="28"/>
        </w:rPr>
        <w:t>。</w:t>
      </w:r>
      <w:r>
        <w:rPr>
          <w:sz w:val="28"/>
          <w:szCs w:val="28"/>
        </w:rPr>
        <w:t>场地属符汶河</w:t>
      </w:r>
      <w:r>
        <w:rPr>
          <w:rFonts w:hint="eastAsia"/>
          <w:sz w:val="28"/>
          <w:szCs w:val="28"/>
        </w:rPr>
        <w:t>Ⅰ级阶地后缘，地貌成因属冲洪积，微地貌单元。场地原为农田，地形平坦开阔。</w:t>
      </w:r>
    </w:p>
    <w:p>
      <w:pPr>
        <w:adjustRightInd w:val="0"/>
        <w:snapToGrid w:val="0"/>
        <w:spacing w:line="360" w:lineRule="auto"/>
        <w:ind w:firstLine="560" w:firstLineChars="200"/>
        <w:rPr>
          <w:sz w:val="28"/>
          <w:szCs w:val="28"/>
        </w:rPr>
      </w:pPr>
      <w:r>
        <w:rPr>
          <w:sz w:val="28"/>
          <w:szCs w:val="28"/>
        </w:rPr>
        <w:t>根据区域地质资料</w:t>
      </w:r>
      <w:r>
        <w:rPr>
          <w:rFonts w:hint="eastAsia"/>
          <w:sz w:val="28"/>
          <w:szCs w:val="28"/>
        </w:rPr>
        <w:t>，勘察区位于扬子淮地台西缘所辖的峨眉山断凹（峨眉~思蒙新生代槽地），西侧为峨边穹断束。勘察区西侧，地质构造条件复杂，以高桥为中心，构造线走向呈北西、北北西、北、北北东、北江方向撒开，类似一把打开的褶扇状构造。</w:t>
      </w:r>
    </w:p>
    <w:p>
      <w:pPr>
        <w:pStyle w:val="5"/>
        <w:adjustRightInd w:val="0"/>
        <w:snapToGrid w:val="0"/>
        <w:spacing w:before="0" w:beforeAutospacing="0" w:after="0" w:afterAutospacing="0" w:line="360" w:lineRule="auto"/>
        <w:ind w:firstLine="200"/>
        <w:rPr>
          <w:rFonts w:ascii="Times New Roman" w:hAnsi="Times New Roman" w:cs="Times New Roman"/>
          <w:bCs w:val="0"/>
          <w:sz w:val="28"/>
          <w:szCs w:val="28"/>
        </w:rPr>
      </w:pPr>
      <w:bookmarkStart w:id="19" w:name="_Toc532386756"/>
      <w:r>
        <w:rPr>
          <w:rFonts w:ascii="Times New Roman" w:hAnsi="Times New Roman" w:cs="Times New Roman"/>
          <w:bCs w:val="0"/>
          <w:sz w:val="28"/>
          <w:szCs w:val="28"/>
        </w:rPr>
        <w:t>3.1.3 地层</w:t>
      </w:r>
      <w:bookmarkEnd w:id="19"/>
    </w:p>
    <w:p>
      <w:pPr>
        <w:adjustRightInd w:val="0"/>
        <w:snapToGrid w:val="0"/>
        <w:spacing w:line="360" w:lineRule="auto"/>
        <w:ind w:firstLine="560" w:firstLineChars="200"/>
        <w:rPr>
          <w:sz w:val="28"/>
          <w:szCs w:val="28"/>
        </w:rPr>
      </w:pPr>
      <w:r>
        <w:rPr>
          <w:sz w:val="28"/>
          <w:szCs w:val="28"/>
        </w:rPr>
        <w:t>依据钻探资料，场地勘探深度范围内地层可划分为四层结构</w:t>
      </w:r>
      <w:r>
        <w:rPr>
          <w:rFonts w:hint="eastAsia"/>
          <w:sz w:val="28"/>
          <w:szCs w:val="28"/>
        </w:rPr>
        <w:t>，</w:t>
      </w:r>
      <w:r>
        <w:rPr>
          <w:sz w:val="28"/>
          <w:szCs w:val="28"/>
        </w:rPr>
        <w:t>由上而下为</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各</w:t>
      </w:r>
      <w:r>
        <w:rPr>
          <w:rFonts w:hAnsi="宋体"/>
          <w:sz w:val="28"/>
          <w:szCs w:val="28"/>
        </w:rPr>
        <w:t>地基</w:t>
      </w:r>
      <w:r>
        <w:rPr>
          <w:rFonts w:hint="eastAsia" w:hAnsi="宋体"/>
          <w:sz w:val="28"/>
          <w:szCs w:val="28"/>
        </w:rPr>
        <w:t>自上而下分别是</w:t>
      </w:r>
      <w:r>
        <w:rPr>
          <w:rFonts w:hAnsi="宋体"/>
          <w:sz w:val="28"/>
          <w:szCs w:val="28"/>
        </w:rPr>
        <w:t>：</w:t>
      </w:r>
    </w:p>
    <w:p>
      <w:pPr>
        <w:pStyle w:val="45"/>
        <w:adjustRightInd w:val="0"/>
        <w:snapToGrid w:val="0"/>
        <w:spacing w:after="0" w:line="360" w:lineRule="auto"/>
        <w:ind w:left="0" w:firstLine="560" w:firstLineChars="200"/>
        <w:contextualSpacing w:val="0"/>
        <w:rPr>
          <w:rFonts w:ascii="Times New Roman" w:hAnsi="Times New Roman"/>
          <w:sz w:val="28"/>
          <w:szCs w:val="28"/>
          <w:lang w:eastAsia="zh-CN"/>
        </w:rPr>
      </w:pPr>
      <w:r>
        <w:rPr>
          <w:rFonts w:hint="eastAsia" w:ascii="宋体" w:hAnsi="宋体"/>
          <w:sz w:val="28"/>
          <w:szCs w:val="28"/>
          <w:lang w:eastAsia="zh-CN"/>
        </w:rPr>
        <w:t>①</w:t>
      </w:r>
      <w:r>
        <w:rPr>
          <w:rFonts w:ascii="Times New Roman" w:hAnsi="宋体"/>
          <w:sz w:val="28"/>
          <w:szCs w:val="28"/>
          <w:lang w:eastAsia="zh-CN"/>
        </w:rPr>
        <w:t>层：</w:t>
      </w:r>
      <w:r>
        <w:rPr>
          <w:rFonts w:hint="eastAsia" w:ascii="Times New Roman" w:hAnsi="宋体"/>
          <w:sz w:val="28"/>
          <w:szCs w:val="28"/>
          <w:lang w:eastAsia="zh-CN"/>
        </w:rPr>
        <w:t>粉质粘土</w:t>
      </w:r>
      <w:r>
        <w:rPr>
          <w:rFonts w:ascii="Times New Roman" w:hAnsi="宋体"/>
          <w:sz w:val="28"/>
          <w:szCs w:val="28"/>
          <w:lang w:eastAsia="zh-CN"/>
        </w:rPr>
        <w:t>（</w:t>
      </w:r>
      <w:r>
        <w:rPr>
          <w:rFonts w:ascii="Times New Roman" w:hAnsi="Times New Roman"/>
          <w:sz w:val="28"/>
          <w:szCs w:val="28"/>
          <w:lang w:eastAsia="zh-CN"/>
        </w:rPr>
        <w:t>Q</w:t>
      </w:r>
      <w:r>
        <w:rPr>
          <w:rFonts w:ascii="Times New Roman" w:hAnsi="Times New Roman"/>
          <w:sz w:val="28"/>
          <w:szCs w:val="28"/>
          <w:vertAlign w:val="subscript"/>
          <w:lang w:eastAsia="zh-CN"/>
        </w:rPr>
        <w:t>4-3</w:t>
      </w:r>
      <w:r>
        <w:rPr>
          <w:rFonts w:hint="eastAsia" w:ascii="Times New Roman" w:hAnsi="Times New Roman"/>
          <w:sz w:val="28"/>
          <w:szCs w:val="28"/>
          <w:vertAlign w:val="superscript"/>
          <w:lang w:eastAsia="zh-CN"/>
        </w:rPr>
        <w:t>al</w:t>
      </w:r>
      <w:r>
        <w:rPr>
          <w:rFonts w:ascii="Times New Roman" w:hAnsi="宋体"/>
          <w:sz w:val="28"/>
          <w:szCs w:val="28"/>
          <w:lang w:eastAsia="zh-CN"/>
        </w:rPr>
        <w:t>）</w:t>
      </w:r>
    </w:p>
    <w:p>
      <w:pPr>
        <w:adjustRightInd w:val="0"/>
        <w:snapToGrid w:val="0"/>
        <w:spacing w:line="360" w:lineRule="auto"/>
        <w:ind w:firstLine="560" w:firstLineChars="200"/>
        <w:rPr>
          <w:rFonts w:hAnsi="宋体"/>
          <w:sz w:val="28"/>
          <w:szCs w:val="28"/>
        </w:rPr>
      </w:pPr>
      <w:r>
        <w:rPr>
          <w:rFonts w:hint="eastAsia" w:hAnsi="宋体"/>
          <w:sz w:val="28"/>
          <w:szCs w:val="28"/>
        </w:rPr>
        <w:t>黄褐色粉质粘土，稍湿~湿，呈软塑状，局部含少量砾砂。表面于0.30~0.40米厚原耕土，含植物根系和少量有机物。据勘察时现场采土样室内土工试验：天然含水率20.4~32.4%，液限30.6~34.5%，塑限18.4~20.3%，塑性指数12.2~14.2，液性指数0.12~0.85，室内定名为粉质粘土。粉质粘土不纯，间夹零星小砾石和砾砂。场区内均有分布，层厚0.60~2.50米。</w:t>
      </w:r>
    </w:p>
    <w:p>
      <w:pPr>
        <w:pStyle w:val="45"/>
        <w:adjustRightInd w:val="0"/>
        <w:snapToGrid w:val="0"/>
        <w:spacing w:after="0" w:line="360" w:lineRule="auto"/>
        <w:ind w:left="0" w:firstLine="560" w:firstLineChars="200"/>
        <w:contextualSpacing w:val="0"/>
        <w:rPr>
          <w:rFonts w:ascii="Times New Roman" w:hAnsi="宋体"/>
          <w:sz w:val="28"/>
          <w:szCs w:val="28"/>
          <w:lang w:eastAsia="zh-CN"/>
        </w:rPr>
      </w:pPr>
      <w:r>
        <w:rPr>
          <w:rFonts w:hint="eastAsia" w:ascii="宋体" w:hAnsi="宋体"/>
          <w:sz w:val="28"/>
          <w:szCs w:val="28"/>
          <w:lang w:eastAsia="zh-CN"/>
        </w:rPr>
        <w:t>②</w:t>
      </w:r>
      <w:r>
        <w:rPr>
          <w:rFonts w:ascii="Times New Roman" w:hAnsi="宋体"/>
          <w:sz w:val="28"/>
          <w:szCs w:val="28"/>
          <w:lang w:eastAsia="zh-CN"/>
        </w:rPr>
        <w:t>层：</w:t>
      </w:r>
      <w:r>
        <w:rPr>
          <w:rFonts w:hint="eastAsia" w:ascii="Times New Roman" w:hAnsi="宋体"/>
          <w:sz w:val="28"/>
          <w:szCs w:val="28"/>
          <w:lang w:eastAsia="zh-CN"/>
        </w:rPr>
        <w:t>卵石土</w:t>
      </w:r>
      <w:r>
        <w:rPr>
          <w:rFonts w:ascii="Times New Roman" w:hAnsi="宋体"/>
          <w:sz w:val="28"/>
          <w:szCs w:val="28"/>
          <w:lang w:eastAsia="zh-CN"/>
        </w:rPr>
        <w:t>（</w:t>
      </w:r>
      <w:r>
        <w:rPr>
          <w:rFonts w:ascii="Times New Roman" w:hAnsi="Times New Roman"/>
          <w:sz w:val="28"/>
          <w:szCs w:val="28"/>
          <w:lang w:eastAsia="zh-CN"/>
        </w:rPr>
        <w:t>Q</w:t>
      </w:r>
      <w:r>
        <w:rPr>
          <w:rFonts w:ascii="Times New Roman" w:hAnsi="Times New Roman"/>
          <w:sz w:val="28"/>
          <w:szCs w:val="28"/>
          <w:vertAlign w:val="subscript"/>
          <w:lang w:eastAsia="zh-CN"/>
        </w:rPr>
        <w:t>4-</w:t>
      </w:r>
      <w:r>
        <w:rPr>
          <w:rFonts w:hint="eastAsia" w:ascii="Times New Roman" w:hAnsi="Times New Roman"/>
          <w:sz w:val="28"/>
          <w:szCs w:val="28"/>
          <w:vertAlign w:val="subscript"/>
          <w:lang w:eastAsia="zh-CN"/>
        </w:rPr>
        <w:t>1</w:t>
      </w:r>
      <w:r>
        <w:rPr>
          <w:rFonts w:ascii="Times New Roman" w:hAnsi="Times New Roman"/>
          <w:sz w:val="28"/>
          <w:szCs w:val="28"/>
          <w:vertAlign w:val="superscript"/>
          <w:lang w:eastAsia="zh-CN"/>
        </w:rPr>
        <w:t>apl</w:t>
      </w:r>
      <w:r>
        <w:rPr>
          <w:rFonts w:ascii="Times New Roman" w:hAnsi="宋体"/>
          <w:sz w:val="28"/>
          <w:szCs w:val="28"/>
          <w:lang w:eastAsia="zh-CN"/>
        </w:rPr>
        <w:t>）</w:t>
      </w:r>
    </w:p>
    <w:p>
      <w:pPr>
        <w:pStyle w:val="45"/>
        <w:adjustRightInd w:val="0"/>
        <w:snapToGrid w:val="0"/>
        <w:spacing w:after="0" w:line="360" w:lineRule="auto"/>
        <w:ind w:left="0" w:firstLine="560" w:firstLineChars="200"/>
        <w:contextualSpacing w:val="0"/>
        <w:rPr>
          <w:rFonts w:ascii="宋体" w:hAnsi="宋体"/>
          <w:sz w:val="28"/>
          <w:szCs w:val="28"/>
          <w:lang w:eastAsia="zh-CN"/>
        </w:rPr>
      </w:pPr>
      <w:r>
        <w:rPr>
          <w:rFonts w:hint="eastAsia" w:ascii="Times New Roman" w:hAnsi="宋体"/>
          <w:sz w:val="28"/>
          <w:szCs w:val="28"/>
          <w:lang w:eastAsia="zh-CN"/>
        </w:rPr>
        <w:t>主要由黄褐色~灰褐色细砂、砾砂和杂色卵石组成，上部含泥质，呈泥卵石状；向下泥质逐渐减少，呈砂卵石状。卵石成分主要以沉淀岩为主（灰岩、白云质灰岩、砂岩、石英砂岩），次为火成岩（花岗岩、辉录岩、辉长岩、玄武岩）及变质岩（矽化砂岩、石英岩），卵石磨圆度较好，多呈次圆形或少数呈圆形及扁圆形状，卵砾石多未风化，质坚硬。卵石粒径以2~8cm为主，下部含漂石。充填物为黄褐色中砂和砾砂，砂成分主要为长石、石英，次为暗色矿物。据现场采样作颗粒分析：粒径＞20mm，占量50.6~59.2%；粒径20~2mm，占量16.8~20.9%；粒径2~0.5mm，占量6.8~11.6%；粒径0.5~0.25mm，占量1.4~9.9%；粒径＜0.075mm，占量3.2~6.8%，室内定名为卵石。据现场N120动力触探测试击数，该层可分三个亚层。即</w:t>
      </w:r>
      <w:r>
        <w:rPr>
          <w:rFonts w:hint="eastAsia" w:ascii="宋体" w:hAnsi="宋体"/>
          <w:sz w:val="28"/>
          <w:szCs w:val="28"/>
          <w:lang w:eastAsia="zh-CN"/>
        </w:rPr>
        <w:t>②</w:t>
      </w:r>
      <w:r>
        <w:rPr>
          <w:rFonts w:hint="eastAsia" w:ascii="Times New Roman" w:hAnsi="宋体"/>
          <w:sz w:val="28"/>
          <w:szCs w:val="28"/>
          <w:lang w:eastAsia="zh-CN"/>
        </w:rPr>
        <w:t>-1一亚层，松散卵石土；</w:t>
      </w:r>
      <w:r>
        <w:rPr>
          <w:rFonts w:hint="eastAsia" w:ascii="宋体" w:hAnsi="宋体"/>
          <w:sz w:val="28"/>
          <w:szCs w:val="28"/>
          <w:lang w:eastAsia="zh-CN"/>
        </w:rPr>
        <w:t>②-1二亚层，稍密卵石土；②-3三亚层，中密卵石土。现分述如下：</w:t>
      </w:r>
    </w:p>
    <w:p>
      <w:pPr>
        <w:pStyle w:val="45"/>
        <w:adjustRightInd w:val="0"/>
        <w:snapToGrid w:val="0"/>
        <w:spacing w:after="0" w:line="360" w:lineRule="auto"/>
        <w:ind w:left="0" w:firstLine="560" w:firstLineChars="200"/>
        <w:contextualSpacing w:val="0"/>
        <w:rPr>
          <w:rFonts w:ascii="Times New Roman" w:hAnsi="宋体"/>
          <w:sz w:val="28"/>
          <w:szCs w:val="28"/>
          <w:lang w:eastAsia="zh-CN"/>
        </w:rPr>
      </w:pPr>
      <w:r>
        <w:rPr>
          <w:rFonts w:hint="eastAsia" w:ascii="宋体" w:hAnsi="宋体"/>
          <w:sz w:val="28"/>
          <w:szCs w:val="28"/>
          <w:lang w:eastAsia="zh-CN"/>
        </w:rPr>
        <w:t>②</w:t>
      </w:r>
      <w:r>
        <w:rPr>
          <w:rFonts w:hint="eastAsia" w:ascii="Times New Roman" w:hAnsi="宋体"/>
          <w:sz w:val="28"/>
          <w:szCs w:val="28"/>
          <w:lang w:eastAsia="zh-CN"/>
        </w:rPr>
        <w:t>-1一亚层，松散卵石土</w:t>
      </w:r>
      <w:r>
        <w:rPr>
          <w:rFonts w:ascii="Times New Roman" w:hAnsi="宋体"/>
          <w:sz w:val="28"/>
          <w:szCs w:val="28"/>
          <w:lang w:eastAsia="zh-CN"/>
        </w:rPr>
        <w:t>（</w:t>
      </w:r>
      <w:r>
        <w:rPr>
          <w:rFonts w:ascii="Times New Roman" w:hAnsi="Times New Roman"/>
          <w:sz w:val="28"/>
          <w:szCs w:val="28"/>
          <w:lang w:eastAsia="zh-CN"/>
        </w:rPr>
        <w:t>Q</w:t>
      </w:r>
      <w:r>
        <w:rPr>
          <w:rFonts w:ascii="Times New Roman" w:hAnsi="Times New Roman"/>
          <w:sz w:val="28"/>
          <w:szCs w:val="28"/>
          <w:vertAlign w:val="subscript"/>
          <w:lang w:eastAsia="zh-CN"/>
        </w:rPr>
        <w:t>4-</w:t>
      </w:r>
      <w:r>
        <w:rPr>
          <w:rFonts w:hint="eastAsia" w:ascii="Times New Roman" w:hAnsi="Times New Roman"/>
          <w:sz w:val="28"/>
          <w:szCs w:val="28"/>
          <w:vertAlign w:val="subscript"/>
          <w:lang w:eastAsia="zh-CN"/>
        </w:rPr>
        <w:t>1</w:t>
      </w:r>
      <w:r>
        <w:rPr>
          <w:rFonts w:ascii="Times New Roman" w:hAnsi="Times New Roman"/>
          <w:sz w:val="28"/>
          <w:szCs w:val="28"/>
          <w:vertAlign w:val="superscript"/>
          <w:lang w:eastAsia="zh-CN"/>
        </w:rPr>
        <w:t>apl</w:t>
      </w:r>
      <w:r>
        <w:rPr>
          <w:rFonts w:ascii="Times New Roman" w:hAnsi="宋体"/>
          <w:sz w:val="28"/>
          <w:szCs w:val="28"/>
          <w:lang w:eastAsia="zh-CN"/>
        </w:rPr>
        <w:t>）</w:t>
      </w:r>
    </w:p>
    <w:p>
      <w:pPr>
        <w:pStyle w:val="45"/>
        <w:adjustRightInd w:val="0"/>
        <w:snapToGrid w:val="0"/>
        <w:spacing w:after="0" w:line="360" w:lineRule="auto"/>
        <w:ind w:left="0" w:firstLine="560" w:firstLineChars="200"/>
        <w:contextualSpacing w:val="0"/>
        <w:rPr>
          <w:rFonts w:ascii="Times New Roman" w:hAnsi="宋体"/>
          <w:sz w:val="28"/>
          <w:szCs w:val="28"/>
          <w:lang w:eastAsia="zh-CN"/>
        </w:rPr>
      </w:pPr>
      <w:r>
        <w:rPr>
          <w:rFonts w:hint="eastAsia" w:ascii="Times New Roman" w:hAnsi="宋体"/>
          <w:sz w:val="28"/>
          <w:szCs w:val="28"/>
          <w:lang w:eastAsia="zh-CN"/>
        </w:rPr>
        <w:t>卵砾石成分同于前述，卵砾石占量约25~40%，卵石粒径以2~6cm为主，N120动力触探击数多位2~3击/10cm。该层主要分布在卵石土的上部。间夹稍密卵石薄层和稍密卵石透镜体。局部砂富集，卵石粒径偏小，呈圆砾状。场区内分布连续，层厚0.50~6.3米。</w:t>
      </w:r>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20" w:name="_Toc532386757"/>
      <w:r>
        <w:rPr>
          <w:rFonts w:hint="eastAsia" w:ascii="Times New Roman" w:hAnsi="Times New Roman" w:cs="Times New Roman"/>
          <w:bCs w:val="0"/>
          <w:sz w:val="28"/>
          <w:szCs w:val="28"/>
        </w:rPr>
        <w:t>3</w:t>
      </w:r>
      <w:r>
        <w:rPr>
          <w:rFonts w:ascii="Times New Roman" w:hAnsi="Times New Roman" w:cs="Times New Roman"/>
          <w:bCs w:val="0"/>
          <w:sz w:val="28"/>
          <w:szCs w:val="28"/>
        </w:rPr>
        <w:t>.1.4水文地质条件</w:t>
      </w:r>
      <w:bookmarkEnd w:id="20"/>
    </w:p>
    <w:p>
      <w:pPr>
        <w:adjustRightInd w:val="0"/>
        <w:snapToGrid w:val="0"/>
        <w:spacing w:line="360" w:lineRule="auto"/>
        <w:ind w:firstLine="560" w:firstLineChars="200"/>
        <w:rPr>
          <w:sz w:val="28"/>
          <w:szCs w:val="28"/>
        </w:rPr>
      </w:pPr>
      <w:r>
        <w:rPr>
          <w:sz w:val="28"/>
          <w:szCs w:val="28"/>
        </w:rPr>
        <w:t>A、地表水</w:t>
      </w:r>
    </w:p>
    <w:p>
      <w:pPr>
        <w:adjustRightInd w:val="0"/>
        <w:snapToGrid w:val="0"/>
        <w:spacing w:line="360" w:lineRule="auto"/>
        <w:ind w:firstLine="560" w:firstLineChars="200"/>
        <w:rPr>
          <w:sz w:val="28"/>
          <w:szCs w:val="28"/>
        </w:rPr>
      </w:pPr>
      <w:r>
        <w:rPr>
          <w:rFonts w:hint="eastAsia"/>
          <w:sz w:val="28"/>
          <w:szCs w:val="28"/>
        </w:rPr>
        <w:t>峨眉山的水文位置属大（渡河）水系，境内有大的天然河流5条，即峨眉河、临江河、龙池河、粗石河、花溪河。花溪河在西北边境与洪雅县共界，其余4条均发源于峨眉山，分别按东、南和东南方向注入大渡河和青衣江。峨眉山风景区位于峨眉河、临江河和龙池河的上游，其主要河流有峨眉河的支流符汶河、虎溪河、临江河的支流张沟河、龙池河的支流燕儿河、花溪河的支流石河。</w:t>
      </w:r>
    </w:p>
    <w:p>
      <w:pPr>
        <w:adjustRightInd w:val="0"/>
        <w:snapToGrid w:val="0"/>
        <w:spacing w:line="360" w:lineRule="auto"/>
        <w:ind w:firstLine="560" w:firstLineChars="200"/>
        <w:rPr>
          <w:sz w:val="28"/>
          <w:szCs w:val="28"/>
        </w:rPr>
      </w:pPr>
      <w:r>
        <w:rPr>
          <w:rFonts w:hint="eastAsia"/>
          <w:sz w:val="28"/>
          <w:szCs w:val="28"/>
        </w:rPr>
        <w:t>峨眉河，主要发源于峨眉山前缘的弓背山、神挂山、尖峰顶一带，在黄湾乡桅杆坪（麻子坝）合流。另一源头来自石笋峰、九老洞的黑白二水，经清音阁合流，至黄湾乡的两河口汇入峨眉河。峨眉河河道蜿蜒曲折，途中主要支流河有川主河（袁沟河）、双福河、虹溪河、黑桥河；在流经峨眉山市的黄湾、川主、绥山、符溪等乡镇后，流入乐山市中区苏稽镇、水口镇，最后在水口镇罗李坝汇入大渡河。峨眉河是大渡河在乐山市境内的一条主要支流，全长60公里，其中在峨眉山市内的河道长45.8公里。</w:t>
      </w:r>
    </w:p>
    <w:p>
      <w:pPr>
        <w:adjustRightInd w:val="0"/>
        <w:snapToGrid w:val="0"/>
        <w:spacing w:line="360" w:lineRule="auto"/>
        <w:ind w:firstLine="560" w:firstLineChars="200"/>
        <w:rPr>
          <w:sz w:val="28"/>
          <w:szCs w:val="28"/>
        </w:rPr>
      </w:pPr>
      <w:r>
        <w:rPr>
          <w:rFonts w:hint="eastAsia"/>
          <w:sz w:val="28"/>
          <w:szCs w:val="28"/>
        </w:rPr>
        <w:t>作为峨眉河支流的符汶河有南北二源：北源名黑水河，源出峨眉山以北哨楼口和弓背山附近的神卦山一带，东南流经麻子坝，至黑香洞纳自木瓜园，流径桂花场入天景乡之两河口会南源；南源称黑白二水（又名黑龙江、白龙江）。左侧白水源出大乘寺和洗象池附近的石笋峰，流经15公里，在清音阁与黑水汇合；右侧黑水，源出九老洞，流经九十九倒拐、洪椿坪、黑龙江栈道（一线天），长约15公里，在清音阁与白水汇合。合流后名宝现溪，再下流3公里，在两河口从右侧注入符汶河，出龙门洞，另有源自川主乡荷叶湾的支流（赵河），经跨洪洞、袁沟后注入符汶河（峨眉河）。符汶河从源头至龙门洞段，山高谷深，水流湍急，河长约50公里，积雨面积486平方公里，总落差1000余米，平均比降20%，多年平均流量17立方米/秒，由于落差集中的上游汇水面积小，支流较多，系树枝状水系的河流。一出龙门洞，则进入峨眉平原，水势平缓。</w:t>
      </w:r>
    </w:p>
    <w:p>
      <w:pPr>
        <w:adjustRightInd w:val="0"/>
        <w:snapToGrid w:val="0"/>
        <w:spacing w:line="360" w:lineRule="auto"/>
        <w:ind w:firstLine="560" w:firstLineChars="200"/>
        <w:rPr>
          <w:sz w:val="28"/>
          <w:szCs w:val="28"/>
        </w:rPr>
      </w:pPr>
      <w:r>
        <w:rPr>
          <w:sz w:val="28"/>
          <w:szCs w:val="28"/>
        </w:rPr>
        <w:t>B、地下水</w:t>
      </w:r>
    </w:p>
    <w:p>
      <w:pPr>
        <w:adjustRightInd w:val="0"/>
        <w:snapToGrid w:val="0"/>
        <w:spacing w:line="360" w:lineRule="auto"/>
        <w:ind w:firstLine="560" w:firstLineChars="200"/>
        <w:rPr>
          <w:sz w:val="28"/>
          <w:szCs w:val="28"/>
        </w:rPr>
      </w:pPr>
      <w:r>
        <w:rPr>
          <w:sz w:val="28"/>
          <w:szCs w:val="28"/>
        </w:rPr>
        <w:t>（1）地下水埋藏条件</w:t>
      </w:r>
    </w:p>
    <w:p>
      <w:pPr>
        <w:adjustRightInd w:val="0"/>
        <w:snapToGrid w:val="0"/>
        <w:spacing w:line="360" w:lineRule="auto"/>
        <w:ind w:firstLine="560" w:firstLineChars="200"/>
        <w:rPr>
          <w:rFonts w:hAnsi="宋体"/>
          <w:sz w:val="28"/>
          <w:szCs w:val="28"/>
        </w:rPr>
      </w:pPr>
      <w:r>
        <w:rPr>
          <w:rFonts w:hint="eastAsia" w:hAnsi="宋体"/>
          <w:sz w:val="28"/>
          <w:szCs w:val="28"/>
        </w:rPr>
        <w:t>勘察期间从钻孔测得地下水埋深2.20~2.40米，对应高程404.30~404.22米。洪水期最大涨幅为0.80~1.20米。场区地下水为第四系卵石土中的孔隙型潜水，有大气降水和同层地下水补给，顺层排泄。建设场地附近无污染源，具现场采土样分析成果，场地土对砼及砼中钢筋具微腐蚀性。</w:t>
      </w:r>
    </w:p>
    <w:p>
      <w:pPr>
        <w:adjustRightInd w:val="0"/>
        <w:snapToGrid w:val="0"/>
        <w:spacing w:line="360" w:lineRule="auto"/>
        <w:ind w:firstLine="560" w:firstLineChars="200"/>
        <w:rPr>
          <w:sz w:val="28"/>
          <w:szCs w:val="28"/>
        </w:rPr>
      </w:pPr>
      <w:r>
        <w:rPr>
          <w:sz w:val="28"/>
          <w:szCs w:val="28"/>
        </w:rPr>
        <w:t>（2）地下水水流方向</w:t>
      </w:r>
    </w:p>
    <w:p>
      <w:pPr>
        <w:adjustRightInd w:val="0"/>
        <w:snapToGrid w:val="0"/>
        <w:spacing w:line="360" w:lineRule="auto"/>
        <w:ind w:firstLine="560" w:firstLineChars="200"/>
        <w:rPr>
          <w:sz w:val="28"/>
          <w:szCs w:val="28"/>
        </w:rPr>
      </w:pPr>
      <w:r>
        <w:rPr>
          <w:sz w:val="28"/>
          <w:szCs w:val="28"/>
        </w:rPr>
        <w:t>根据地勘资料，在钻孔</w:t>
      </w:r>
      <w:r>
        <w:rPr>
          <w:rFonts w:hint="eastAsia"/>
          <w:sz w:val="28"/>
          <w:szCs w:val="28"/>
        </w:rPr>
        <w:t>zk2测得地下水水位高程为404.30m，</w:t>
      </w:r>
      <w:r>
        <w:rPr>
          <w:sz w:val="28"/>
          <w:szCs w:val="28"/>
        </w:rPr>
        <w:t>钻孔</w:t>
      </w:r>
      <w:r>
        <w:rPr>
          <w:rFonts w:hint="eastAsia"/>
          <w:sz w:val="28"/>
          <w:szCs w:val="28"/>
        </w:rPr>
        <w:t>zk28测得地下水水位高程为404.22m。遵循地下水流向由高水位向低水位原则，本场地地下水流向大致为由西北向东南。钻孔及地下水高程图、地下水流向图见下图。</w:t>
      </w:r>
    </w:p>
    <w:p>
      <w:pPr>
        <w:adjustRightInd w:val="0"/>
        <w:snapToGrid w:val="0"/>
        <w:spacing w:line="360" w:lineRule="auto"/>
        <w:ind w:firstLine="560" w:firstLineChars="200"/>
        <w:rPr>
          <w:sz w:val="28"/>
          <w:szCs w:val="28"/>
        </w:rPr>
      </w:pPr>
    </w:p>
    <w:p>
      <w:pPr>
        <w:spacing w:beforeLines="20" w:line="360" w:lineRule="auto"/>
        <w:jc w:val="center"/>
        <w:rPr>
          <w:sz w:val="28"/>
          <w:szCs w:val="28"/>
        </w:rPr>
      </w:pPr>
      <w:r>
        <w:rPr>
          <w:sz w:val="28"/>
          <w:szCs w:val="28"/>
        </w:rPr>
        <w:drawing>
          <wp:inline distT="0" distB="0" distL="114300" distR="114300">
            <wp:extent cx="4433570" cy="5773420"/>
            <wp:effectExtent l="0" t="0" r="5080" b="17780"/>
            <wp:docPr id="7" name="图片 2" descr="scanner_20181101_18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scanner_20181101_180628"/>
                    <pic:cNvPicPr>
                      <a:picLocks noChangeAspect="1"/>
                    </pic:cNvPicPr>
                  </pic:nvPicPr>
                  <pic:blipFill>
                    <a:blip r:embed="rId21" cstate="print"/>
                    <a:stretch>
                      <a:fillRect/>
                    </a:stretch>
                  </pic:blipFill>
                  <pic:spPr>
                    <a:xfrm>
                      <a:off x="0" y="0"/>
                      <a:ext cx="4433570" cy="5773420"/>
                    </a:xfrm>
                    <a:prstGeom prst="rect">
                      <a:avLst/>
                    </a:prstGeom>
                    <a:noFill/>
                    <a:ln w="9525">
                      <a:noFill/>
                    </a:ln>
                  </pic:spPr>
                </pic:pic>
              </a:graphicData>
            </a:graphic>
          </wp:inline>
        </w:drawing>
      </w:r>
    </w:p>
    <w:p>
      <w:pPr>
        <w:adjustRightInd w:val="0"/>
        <w:snapToGrid w:val="0"/>
        <w:jc w:val="center"/>
        <w:rPr>
          <w:sz w:val="24"/>
        </w:rPr>
      </w:pPr>
      <w:r>
        <w:rPr>
          <w:rFonts w:hint="eastAsia"/>
          <w:sz w:val="24"/>
        </w:rPr>
        <w:t>图3-2  钻孔及地下水高程图（zk2-404.3m）</w:t>
      </w:r>
    </w:p>
    <w:p>
      <w:pPr>
        <w:spacing w:line="360" w:lineRule="auto"/>
        <w:jc w:val="center"/>
        <w:rPr>
          <w:sz w:val="28"/>
          <w:szCs w:val="28"/>
        </w:rPr>
      </w:pPr>
      <w:r>
        <w:rPr>
          <w:sz w:val="28"/>
          <w:szCs w:val="28"/>
        </w:rPr>
        <w:drawing>
          <wp:inline distT="0" distB="0" distL="114300" distR="114300">
            <wp:extent cx="5390515" cy="4274185"/>
            <wp:effectExtent l="0" t="0" r="635" b="12065"/>
            <wp:docPr id="8" name="图片 3" descr="scanner_20181101_18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scanner_20181101_180815"/>
                    <pic:cNvPicPr>
                      <a:picLocks noChangeAspect="1"/>
                    </pic:cNvPicPr>
                  </pic:nvPicPr>
                  <pic:blipFill>
                    <a:blip r:embed="rId22" cstate="print"/>
                    <a:stretch>
                      <a:fillRect/>
                    </a:stretch>
                  </pic:blipFill>
                  <pic:spPr>
                    <a:xfrm>
                      <a:off x="0" y="0"/>
                      <a:ext cx="5390515" cy="4274185"/>
                    </a:xfrm>
                    <a:prstGeom prst="rect">
                      <a:avLst/>
                    </a:prstGeom>
                    <a:noFill/>
                    <a:ln w="9525">
                      <a:noFill/>
                    </a:ln>
                  </pic:spPr>
                </pic:pic>
              </a:graphicData>
            </a:graphic>
          </wp:inline>
        </w:drawing>
      </w:r>
    </w:p>
    <w:p>
      <w:pPr>
        <w:adjustRightInd w:val="0"/>
        <w:snapToGrid w:val="0"/>
        <w:spacing w:beforeLines="20"/>
        <w:jc w:val="center"/>
        <w:rPr>
          <w:sz w:val="28"/>
          <w:szCs w:val="28"/>
        </w:rPr>
      </w:pPr>
      <w:r>
        <w:rPr>
          <w:rFonts w:hint="eastAsia"/>
          <w:sz w:val="24"/>
        </w:rPr>
        <w:t>图3-3  钻孔及地下水高程图（zk28-404.22m）</w:t>
      </w:r>
    </w:p>
    <w:p>
      <w:pPr>
        <w:spacing w:beforeLines="20" w:line="360" w:lineRule="auto"/>
        <w:ind w:firstLine="560" w:firstLineChars="200"/>
        <w:rPr>
          <w:sz w:val="28"/>
          <w:szCs w:val="28"/>
        </w:rPr>
      </w:pPr>
      <w:r>
        <w:rPr>
          <w:sz w:val="28"/>
          <w:szCs w:val="28"/>
        </w:rPr>
        <w:drawing>
          <wp:inline distT="0" distB="0" distL="114300" distR="114300">
            <wp:extent cx="5039995" cy="3763645"/>
            <wp:effectExtent l="0" t="0" r="8255" b="8255"/>
            <wp:docPr id="9" name="图片 4" descr="宏昇药业地下水流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宏昇药业地下水流向图"/>
                    <pic:cNvPicPr>
                      <a:picLocks noChangeAspect="1"/>
                    </pic:cNvPicPr>
                  </pic:nvPicPr>
                  <pic:blipFill>
                    <a:blip r:embed="rId23" cstate="print"/>
                    <a:srcRect l="5113" t="2417" r="5113" b="2417"/>
                    <a:stretch>
                      <a:fillRect/>
                    </a:stretch>
                  </pic:blipFill>
                  <pic:spPr>
                    <a:xfrm>
                      <a:off x="0" y="0"/>
                      <a:ext cx="5039995" cy="3763645"/>
                    </a:xfrm>
                    <a:prstGeom prst="rect">
                      <a:avLst/>
                    </a:prstGeom>
                    <a:noFill/>
                    <a:ln w="9525">
                      <a:noFill/>
                    </a:ln>
                  </pic:spPr>
                </pic:pic>
              </a:graphicData>
            </a:graphic>
          </wp:inline>
        </w:drawing>
      </w:r>
    </w:p>
    <w:p>
      <w:pPr>
        <w:adjustRightInd w:val="0"/>
        <w:snapToGrid w:val="0"/>
        <w:jc w:val="center"/>
        <w:rPr>
          <w:sz w:val="28"/>
          <w:szCs w:val="28"/>
        </w:rPr>
      </w:pPr>
      <w:r>
        <w:rPr>
          <w:rFonts w:hint="eastAsia"/>
          <w:sz w:val="24"/>
        </w:rPr>
        <w:t>图3-4地下水流向图</w:t>
      </w:r>
    </w:p>
    <w:p>
      <w:pPr>
        <w:spacing w:line="360" w:lineRule="auto"/>
        <w:ind w:firstLine="560" w:firstLineChars="200"/>
        <w:rPr>
          <w:sz w:val="28"/>
          <w:szCs w:val="28"/>
        </w:rPr>
      </w:pPr>
      <w:r>
        <w:rPr>
          <w:rFonts w:hint="eastAsia"/>
          <w:sz w:val="28"/>
          <w:szCs w:val="28"/>
        </w:rPr>
        <w:t>由上图可见，宏昇药业地下水流向为从西北流向东南。</w:t>
      </w:r>
    </w:p>
    <w:p>
      <w:pPr>
        <w:spacing w:line="360" w:lineRule="auto"/>
        <w:ind w:firstLine="560" w:firstLineChars="200"/>
        <w:rPr>
          <w:sz w:val="28"/>
          <w:szCs w:val="28"/>
        </w:rPr>
      </w:pPr>
      <w:r>
        <w:rPr>
          <w:sz w:val="28"/>
          <w:szCs w:val="28"/>
        </w:rPr>
        <w:t>（3）水、土腐蚀性评价</w:t>
      </w:r>
    </w:p>
    <w:p>
      <w:pPr>
        <w:spacing w:line="360" w:lineRule="auto"/>
        <w:ind w:firstLine="560" w:firstLineChars="200"/>
        <w:rPr>
          <w:sz w:val="28"/>
          <w:szCs w:val="28"/>
        </w:rPr>
      </w:pPr>
      <w:r>
        <w:rPr>
          <w:rFonts w:hint="eastAsia" w:hAnsi="宋体"/>
          <w:sz w:val="28"/>
          <w:szCs w:val="28"/>
        </w:rPr>
        <w:t>据现场采水样室内分析成果，地下水对砼及砼中钢筋具微腐蚀性</w:t>
      </w:r>
      <w:r>
        <w:rPr>
          <w:rFonts w:hint="eastAsia"/>
          <w:sz w:val="28"/>
          <w:szCs w:val="28"/>
        </w:rPr>
        <w:t>。</w:t>
      </w:r>
    </w:p>
    <w:p>
      <w:pPr>
        <w:pStyle w:val="2"/>
        <w:rPr>
          <w:color w:val="auto"/>
        </w:rPr>
      </w:pPr>
      <w:bookmarkStart w:id="21" w:name="_Toc523141285"/>
      <w:bookmarkStart w:id="22" w:name="_Toc532386758"/>
      <w:r>
        <w:rPr>
          <w:rFonts w:hint="eastAsia"/>
          <w:color w:val="auto"/>
        </w:rPr>
        <w:t>4、资料分析</w:t>
      </w:r>
      <w:bookmarkEnd w:id="21"/>
      <w:bookmarkEnd w:id="22"/>
    </w:p>
    <w:p>
      <w:pPr>
        <w:adjustRightInd w:val="0"/>
        <w:snapToGrid w:val="0"/>
        <w:spacing w:beforeLines="50" w:line="360" w:lineRule="auto"/>
        <w:outlineLvl w:val="1"/>
        <w:rPr>
          <w:b/>
          <w:sz w:val="28"/>
          <w:szCs w:val="28"/>
        </w:rPr>
      </w:pPr>
      <w:bookmarkStart w:id="23" w:name="_Toc523141286"/>
      <w:bookmarkStart w:id="24" w:name="_Toc532386759"/>
      <w:r>
        <w:rPr>
          <w:rFonts w:hint="eastAsia"/>
          <w:b/>
          <w:sz w:val="28"/>
          <w:szCs w:val="28"/>
        </w:rPr>
        <w:t>4</w:t>
      </w:r>
      <w:r>
        <w:rPr>
          <w:b/>
          <w:sz w:val="28"/>
          <w:szCs w:val="28"/>
        </w:rPr>
        <w:t>.1</w:t>
      </w:r>
      <w:r>
        <w:rPr>
          <w:rFonts w:hint="eastAsia"/>
          <w:b/>
          <w:sz w:val="28"/>
          <w:szCs w:val="28"/>
        </w:rPr>
        <w:t>资料收集及分析</w:t>
      </w:r>
      <w:bookmarkEnd w:id="23"/>
      <w:bookmarkEnd w:id="24"/>
    </w:p>
    <w:p>
      <w:pPr>
        <w:adjustRightInd w:val="0"/>
        <w:snapToGrid w:val="0"/>
        <w:spacing w:line="360" w:lineRule="auto"/>
        <w:ind w:firstLine="560" w:firstLineChars="200"/>
        <w:rPr>
          <w:sz w:val="28"/>
          <w:szCs w:val="28"/>
        </w:rPr>
      </w:pPr>
      <w:r>
        <w:rPr>
          <w:rFonts w:hint="eastAsia"/>
          <w:sz w:val="28"/>
          <w:szCs w:val="28"/>
        </w:rPr>
        <w:t>本方案为了解宏昇药业厂区污染物排放状况，主要收集了厂区的地质数据以及厂区平面布置图，并通过对原厂负责人的询问和现场踏勘，收集了原厂产品的原辅材料、生产工艺以及主要污染物的排放和处置措施。</w:t>
      </w:r>
    </w:p>
    <w:p>
      <w:pPr>
        <w:adjustRightInd w:val="0"/>
        <w:snapToGrid w:val="0"/>
        <w:spacing w:line="360" w:lineRule="auto"/>
        <w:outlineLvl w:val="1"/>
        <w:rPr>
          <w:b/>
          <w:sz w:val="28"/>
          <w:szCs w:val="28"/>
        </w:rPr>
      </w:pPr>
      <w:bookmarkStart w:id="25" w:name="_Toc532386760"/>
      <w:r>
        <w:rPr>
          <w:rFonts w:hint="eastAsia"/>
          <w:b/>
          <w:sz w:val="28"/>
          <w:szCs w:val="28"/>
        </w:rPr>
        <w:t>4</w:t>
      </w:r>
      <w:r>
        <w:rPr>
          <w:b/>
          <w:sz w:val="28"/>
          <w:szCs w:val="28"/>
        </w:rPr>
        <w:t>.</w:t>
      </w:r>
      <w:r>
        <w:rPr>
          <w:rFonts w:hint="eastAsia"/>
          <w:b/>
          <w:sz w:val="28"/>
          <w:szCs w:val="28"/>
        </w:rPr>
        <w:t>2</w:t>
      </w:r>
      <w:r>
        <w:rPr>
          <w:b/>
          <w:bCs/>
          <w:sz w:val="28"/>
          <w:szCs w:val="28"/>
        </w:rPr>
        <w:t>布局现状及</w:t>
      </w:r>
      <w:r>
        <w:rPr>
          <w:rFonts w:hint="eastAsia"/>
          <w:b/>
          <w:bCs/>
          <w:sz w:val="28"/>
          <w:szCs w:val="28"/>
        </w:rPr>
        <w:t>生产现状</w:t>
      </w:r>
      <w:bookmarkEnd w:id="25"/>
    </w:p>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26" w:name="_Toc532386761"/>
      <w:r>
        <w:rPr>
          <w:rFonts w:hint="eastAsia" w:ascii="Times New Roman" w:hAnsi="Times New Roman" w:cs="Times New Roman"/>
          <w:bCs w:val="0"/>
          <w:sz w:val="28"/>
          <w:szCs w:val="28"/>
        </w:rPr>
        <w:t>4</w:t>
      </w:r>
      <w:r>
        <w:rPr>
          <w:rFonts w:ascii="Times New Roman" w:hAnsi="Times New Roman" w:cs="Times New Roman"/>
          <w:bCs w:val="0"/>
          <w:sz w:val="28"/>
          <w:szCs w:val="28"/>
        </w:rPr>
        <w:t>.</w:t>
      </w:r>
      <w:r>
        <w:rPr>
          <w:rFonts w:hint="eastAsia" w:ascii="Times New Roman" w:hAnsi="Times New Roman" w:cs="Times New Roman"/>
          <w:bCs w:val="0"/>
          <w:sz w:val="28"/>
          <w:szCs w:val="28"/>
        </w:rPr>
        <w:t>2</w:t>
      </w:r>
      <w:r>
        <w:rPr>
          <w:rFonts w:ascii="Times New Roman" w:hAnsi="Times New Roman" w:cs="Times New Roman"/>
          <w:bCs w:val="0"/>
          <w:sz w:val="28"/>
          <w:szCs w:val="28"/>
        </w:rPr>
        <w:t>.1布局现状</w:t>
      </w:r>
      <w:bookmarkEnd w:id="26"/>
    </w:p>
    <w:p>
      <w:pPr>
        <w:adjustRightInd w:val="0"/>
        <w:snapToGrid w:val="0"/>
        <w:spacing w:line="360" w:lineRule="auto"/>
        <w:ind w:firstLine="560" w:firstLineChars="200"/>
        <w:rPr>
          <w:sz w:val="28"/>
          <w:szCs w:val="28"/>
        </w:rPr>
      </w:pPr>
      <w:r>
        <w:rPr>
          <w:rFonts w:hint="eastAsia"/>
          <w:sz w:val="28"/>
          <w:szCs w:val="28"/>
        </w:rPr>
        <w:t>本场地在宏昇药业建厂</w:t>
      </w:r>
      <w:r>
        <w:rPr>
          <w:sz w:val="28"/>
          <w:szCs w:val="28"/>
        </w:rPr>
        <w:t>之前为</w:t>
      </w:r>
      <w:r>
        <w:rPr>
          <w:rFonts w:hint="eastAsia"/>
          <w:sz w:val="28"/>
          <w:szCs w:val="28"/>
        </w:rPr>
        <w:t>农田，无工业生产历史。</w:t>
      </w:r>
    </w:p>
    <w:p>
      <w:pPr>
        <w:adjustRightInd w:val="0"/>
        <w:snapToGrid w:val="0"/>
        <w:spacing w:line="360" w:lineRule="auto"/>
        <w:ind w:firstLine="560" w:firstLineChars="200"/>
        <w:rPr>
          <w:sz w:val="28"/>
          <w:szCs w:val="28"/>
        </w:rPr>
      </w:pPr>
      <w:r>
        <w:rPr>
          <w:rFonts w:hint="eastAsia"/>
          <w:sz w:val="28"/>
          <w:szCs w:val="28"/>
        </w:rPr>
        <w:t>本项目平面布置如下：将厂区内甲类防爆区和非防爆区分开布置：涉及甲类防爆区的医药中间体车间、原料药车间和原料库房均安置在厂区北面，车间内按GMP要求布置，其余建筑安置在厂区南面，中间为30m宽的厂区主干道，有效分隔了2个区域。原料药车间2条生产线分布在车间内南北两侧，共用的纯水制水站、空压机房、空调机房、配电房以及冷却塔和生产区物料存放区都设置在2条生产线之间，有效减少了净化空气、纯水、原料、冷却水等的输送距离。</w:t>
      </w:r>
    </w:p>
    <w:p>
      <w:pPr>
        <w:adjustRightInd w:val="0"/>
        <w:snapToGrid w:val="0"/>
        <w:spacing w:line="360" w:lineRule="auto"/>
        <w:ind w:firstLine="560" w:firstLineChars="200"/>
        <w:rPr>
          <w:sz w:val="28"/>
          <w:szCs w:val="28"/>
        </w:rPr>
      </w:pPr>
      <w:r>
        <w:rPr>
          <w:rFonts w:hint="eastAsia"/>
          <w:sz w:val="28"/>
          <w:szCs w:val="28"/>
        </w:rPr>
        <w:t>为便于原料和成品的运输，同时将厂区人流、物流分开，项目在场地西面、东面规划道路处分别设计了物流入口和人流入口大门。为防止锅炉废气对车间空气的影响，将其布置在辅助用房的最南端，尽量远离了2个生产车间。污水处理站和原料库房布置在厂区东北角，位于生产车间主导风向的下风向，可有效避免营运期产生的恶臭、挥发性气体等对车间空气质量的影响。</w:t>
      </w:r>
    </w:p>
    <w:p>
      <w:pPr>
        <w:adjustRightInd w:val="0"/>
        <w:snapToGrid w:val="0"/>
        <w:spacing w:line="360" w:lineRule="auto"/>
        <w:ind w:firstLine="560" w:firstLineChars="200"/>
        <w:rPr>
          <w:sz w:val="28"/>
          <w:szCs w:val="28"/>
        </w:rPr>
      </w:pPr>
      <w:r>
        <w:rPr>
          <w:sz w:val="28"/>
          <w:szCs w:val="28"/>
        </w:rPr>
        <w:t>厂内总平图如下：</w:t>
      </w:r>
    </w:p>
    <w:p>
      <w:pPr>
        <w:adjustRightInd w:val="0"/>
        <w:snapToGrid w:val="0"/>
        <w:spacing w:line="360" w:lineRule="auto"/>
        <w:jc w:val="right"/>
        <w:rPr>
          <w:b/>
          <w:sz w:val="24"/>
        </w:rPr>
      </w:pPr>
      <w:r>
        <w:rPr>
          <w:b/>
          <w:sz w:val="24"/>
        </w:rPr>
        <w:drawing>
          <wp:inline distT="0" distB="0" distL="114300" distR="114300">
            <wp:extent cx="5591175" cy="4267200"/>
            <wp:effectExtent l="0" t="0" r="9525" b="0"/>
            <wp:docPr id="3" name="图片 2" descr="宏昇药业-平面布置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宏昇药业-平面布置图修改"/>
                    <pic:cNvPicPr>
                      <a:picLocks noChangeAspect="1"/>
                    </pic:cNvPicPr>
                  </pic:nvPicPr>
                  <pic:blipFill>
                    <a:blip r:embed="rId24"/>
                    <a:srcRect l="5272" r="5272" b="3606"/>
                    <a:stretch>
                      <a:fillRect/>
                    </a:stretch>
                  </pic:blipFill>
                  <pic:spPr>
                    <a:xfrm>
                      <a:off x="0" y="0"/>
                      <a:ext cx="5591175" cy="4267200"/>
                    </a:xfrm>
                    <a:prstGeom prst="rect">
                      <a:avLst/>
                    </a:prstGeom>
                    <a:noFill/>
                    <a:ln w="9525">
                      <a:noFill/>
                    </a:ln>
                  </pic:spPr>
                </pic:pic>
              </a:graphicData>
            </a:graphic>
          </wp:inline>
        </w:drawing>
      </w:r>
      <w:r>
        <w:rPr>
          <w:b/>
          <w:sz w:val="20"/>
        </w:rPr>
        <w:t>注</w:t>
      </w:r>
      <w:r>
        <w:rPr>
          <w:rFonts w:hint="eastAsia"/>
          <w:b/>
          <w:sz w:val="20"/>
        </w:rPr>
        <w:t>：</w:t>
      </w:r>
      <w:r>
        <w:rPr>
          <w:b/>
          <w:sz w:val="20"/>
        </w:rPr>
        <w:t>一</w:t>
      </w:r>
      <w:r>
        <w:rPr>
          <w:rFonts w:hint="eastAsia"/>
          <w:b/>
          <w:sz w:val="20"/>
        </w:rPr>
        <w:t>、</w:t>
      </w:r>
      <w:r>
        <w:rPr>
          <w:b/>
          <w:sz w:val="20"/>
        </w:rPr>
        <w:t>二</w:t>
      </w:r>
      <w:r>
        <w:rPr>
          <w:rFonts w:hint="eastAsia"/>
          <w:b/>
          <w:sz w:val="20"/>
        </w:rPr>
        <w:t>、</w:t>
      </w:r>
      <w:r>
        <w:rPr>
          <w:b/>
          <w:sz w:val="20"/>
        </w:rPr>
        <w:t>三</w:t>
      </w:r>
      <w:r>
        <w:rPr>
          <w:rFonts w:hint="eastAsia"/>
          <w:b/>
          <w:sz w:val="20"/>
        </w:rPr>
        <w:t>、</w:t>
      </w:r>
      <w:r>
        <w:rPr>
          <w:b/>
          <w:sz w:val="20"/>
        </w:rPr>
        <w:t>七车间为医药中间体车间</w:t>
      </w:r>
      <w:r>
        <w:rPr>
          <w:rFonts w:hint="eastAsia"/>
          <w:b/>
          <w:sz w:val="20"/>
        </w:rPr>
        <w:t>；</w:t>
      </w:r>
      <w:r>
        <w:rPr>
          <w:b/>
          <w:sz w:val="20"/>
        </w:rPr>
        <w:t>六车间为原料药车间</w:t>
      </w:r>
    </w:p>
    <w:p>
      <w:pPr>
        <w:adjustRightInd w:val="0"/>
        <w:snapToGrid w:val="0"/>
        <w:spacing w:line="360" w:lineRule="auto"/>
        <w:jc w:val="center"/>
        <w:rPr>
          <w:sz w:val="24"/>
        </w:rPr>
      </w:pPr>
      <w:r>
        <w:rPr>
          <w:sz w:val="24"/>
        </w:rPr>
        <w:t>图</w:t>
      </w:r>
      <w:r>
        <w:rPr>
          <w:rFonts w:hint="eastAsia"/>
          <w:sz w:val="24"/>
        </w:rPr>
        <w:t>4-1</w:t>
      </w:r>
      <w:r>
        <w:rPr>
          <w:sz w:val="24"/>
        </w:rPr>
        <w:t>宏昇药业厂区总平面布置图</w:t>
      </w:r>
    </w:p>
    <w:bookmarkEnd w:id="2"/>
    <w:p>
      <w:pPr>
        <w:pStyle w:val="5"/>
        <w:adjustRightInd w:val="0"/>
        <w:snapToGrid w:val="0"/>
        <w:spacing w:before="0" w:beforeAutospacing="0" w:after="0" w:afterAutospacing="0" w:line="360" w:lineRule="auto"/>
        <w:rPr>
          <w:rFonts w:ascii="Times New Roman" w:hAnsi="Times New Roman" w:cs="Times New Roman"/>
          <w:bCs w:val="0"/>
          <w:sz w:val="28"/>
          <w:szCs w:val="28"/>
        </w:rPr>
      </w:pPr>
      <w:bookmarkStart w:id="27" w:name="_Toc532386762"/>
      <w:r>
        <w:rPr>
          <w:rFonts w:hint="eastAsia" w:ascii="Times New Roman" w:hAnsi="Times New Roman" w:cs="Times New Roman"/>
          <w:bCs w:val="0"/>
          <w:sz w:val="28"/>
          <w:szCs w:val="28"/>
        </w:rPr>
        <w:t>4</w:t>
      </w:r>
      <w:r>
        <w:rPr>
          <w:rFonts w:ascii="Times New Roman" w:hAnsi="Times New Roman" w:cs="Times New Roman"/>
          <w:bCs w:val="0"/>
          <w:sz w:val="28"/>
          <w:szCs w:val="28"/>
        </w:rPr>
        <w:t>.2.2</w:t>
      </w:r>
      <w:r>
        <w:rPr>
          <w:rFonts w:ascii="Times New Roman" w:cs="Times New Roman"/>
          <w:bCs w:val="0"/>
          <w:sz w:val="28"/>
          <w:szCs w:val="28"/>
        </w:rPr>
        <w:t>生产现状</w:t>
      </w:r>
      <w:bookmarkEnd w:id="27"/>
    </w:p>
    <w:p>
      <w:pPr>
        <w:adjustRightInd w:val="0"/>
        <w:snapToGrid w:val="0"/>
        <w:spacing w:line="360" w:lineRule="auto"/>
        <w:ind w:firstLine="560" w:firstLineChars="200"/>
        <w:rPr>
          <w:sz w:val="28"/>
          <w:szCs w:val="28"/>
        </w:rPr>
      </w:pPr>
      <w:r>
        <w:rPr>
          <w:sz w:val="28"/>
          <w:szCs w:val="28"/>
        </w:rPr>
        <w:t>宏昇药业</w:t>
      </w:r>
      <w:r>
        <w:rPr>
          <w:rFonts w:hint="eastAsia"/>
          <w:sz w:val="28"/>
          <w:szCs w:val="28"/>
        </w:rPr>
        <w:t>“新药研发中试生产项目”于2011年8月开工，2012年10月投入生产，开发试验生产瑞舒伐他汀钙原料药和坎地沙坦酯原料药。</w:t>
      </w:r>
    </w:p>
    <w:p>
      <w:pPr>
        <w:adjustRightInd w:val="0"/>
        <w:snapToGrid w:val="0"/>
        <w:spacing w:line="360" w:lineRule="auto"/>
        <w:rPr>
          <w:b/>
          <w:sz w:val="28"/>
          <w:szCs w:val="28"/>
        </w:rPr>
      </w:pPr>
      <w:r>
        <w:rPr>
          <w:rFonts w:hint="eastAsia"/>
          <w:b/>
          <w:sz w:val="28"/>
          <w:szCs w:val="28"/>
        </w:rPr>
        <w:t>1、产品方案</w:t>
      </w:r>
    </w:p>
    <w:p>
      <w:pPr>
        <w:adjustRightInd w:val="0"/>
        <w:snapToGrid w:val="0"/>
        <w:spacing w:line="360" w:lineRule="auto"/>
        <w:ind w:firstLine="560" w:firstLineChars="200"/>
        <w:rPr>
          <w:sz w:val="28"/>
          <w:szCs w:val="28"/>
        </w:rPr>
      </w:pPr>
      <w:r>
        <w:rPr>
          <w:sz w:val="28"/>
          <w:szCs w:val="28"/>
        </w:rPr>
        <w:t>本项目产品方案见表</w:t>
      </w:r>
      <w:r>
        <w:rPr>
          <w:rFonts w:hint="eastAsia"/>
          <w:sz w:val="28"/>
          <w:szCs w:val="28"/>
        </w:rPr>
        <w:t>4-2</w:t>
      </w:r>
      <w:r>
        <w:rPr>
          <w:sz w:val="28"/>
          <w:szCs w:val="28"/>
        </w:rPr>
        <w:t>。</w:t>
      </w:r>
    </w:p>
    <w:p>
      <w:pPr>
        <w:adjustRightInd w:val="0"/>
        <w:snapToGrid w:val="0"/>
        <w:jc w:val="center"/>
        <w:textAlignment w:val="baseline"/>
        <w:rPr>
          <w:b/>
          <w:kern w:val="0"/>
          <w:sz w:val="24"/>
        </w:rPr>
      </w:pPr>
      <w:r>
        <w:rPr>
          <w:b/>
          <w:kern w:val="0"/>
          <w:sz w:val="24"/>
        </w:rPr>
        <w:t>表</w:t>
      </w:r>
      <w:r>
        <w:rPr>
          <w:rFonts w:hint="eastAsia"/>
          <w:b/>
          <w:kern w:val="0"/>
          <w:sz w:val="24"/>
        </w:rPr>
        <w:t>4-2</w:t>
      </w:r>
      <w:r>
        <w:rPr>
          <w:b/>
          <w:sz w:val="24"/>
        </w:rPr>
        <w:t>生产规模及</w:t>
      </w:r>
      <w:r>
        <w:rPr>
          <w:b/>
          <w:kern w:val="0"/>
          <w:sz w:val="24"/>
        </w:rPr>
        <w:t>产品</w:t>
      </w:r>
      <w:r>
        <w:rPr>
          <w:b/>
          <w:sz w:val="24"/>
        </w:rPr>
        <w:t>方案</w:t>
      </w:r>
    </w:p>
    <w:tbl>
      <w:tblPr>
        <w:tblStyle w:val="19"/>
        <w:tblW w:w="81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1587"/>
        <w:gridCol w:w="2037"/>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1" w:type="dxa"/>
            <w:vAlign w:val="center"/>
          </w:tcPr>
          <w:p>
            <w:pPr>
              <w:adjustRightInd w:val="0"/>
              <w:snapToGrid w:val="0"/>
              <w:spacing w:line="400" w:lineRule="exact"/>
              <w:jc w:val="center"/>
              <w:rPr>
                <w:b/>
                <w:bCs/>
                <w:sz w:val="24"/>
              </w:rPr>
            </w:pPr>
            <w:bookmarkStart w:id="28" w:name="_Toc304956344"/>
            <w:bookmarkStart w:id="29" w:name="_Toc304955623"/>
            <w:bookmarkStart w:id="30" w:name="_Toc304959336"/>
            <w:bookmarkStart w:id="31" w:name="_Toc304958764"/>
            <w:r>
              <w:rPr>
                <w:rFonts w:hint="eastAsia"/>
                <w:b/>
                <w:bCs/>
                <w:sz w:val="24"/>
              </w:rPr>
              <w:t>名称</w:t>
            </w:r>
          </w:p>
        </w:tc>
        <w:tc>
          <w:tcPr>
            <w:tcW w:w="1587" w:type="dxa"/>
            <w:vAlign w:val="center"/>
          </w:tcPr>
          <w:p>
            <w:pPr>
              <w:adjustRightInd w:val="0"/>
              <w:snapToGrid w:val="0"/>
              <w:spacing w:line="400" w:lineRule="exact"/>
              <w:jc w:val="center"/>
              <w:rPr>
                <w:b/>
                <w:bCs/>
                <w:sz w:val="24"/>
              </w:rPr>
            </w:pPr>
            <w:r>
              <w:rPr>
                <w:rFonts w:hint="eastAsia"/>
                <w:b/>
                <w:bCs/>
                <w:sz w:val="24"/>
              </w:rPr>
              <w:t>形状</w:t>
            </w:r>
          </w:p>
        </w:tc>
        <w:tc>
          <w:tcPr>
            <w:tcW w:w="2037" w:type="dxa"/>
            <w:vAlign w:val="center"/>
          </w:tcPr>
          <w:p>
            <w:pPr>
              <w:adjustRightInd w:val="0"/>
              <w:snapToGrid w:val="0"/>
              <w:spacing w:line="400" w:lineRule="exact"/>
              <w:jc w:val="center"/>
              <w:rPr>
                <w:b/>
                <w:bCs/>
                <w:sz w:val="24"/>
              </w:rPr>
            </w:pPr>
            <w:r>
              <w:rPr>
                <w:rFonts w:hint="eastAsia"/>
                <w:b/>
                <w:bCs/>
                <w:sz w:val="24"/>
              </w:rPr>
              <w:t>年生产量</w:t>
            </w:r>
          </w:p>
        </w:tc>
        <w:tc>
          <w:tcPr>
            <w:tcW w:w="1812" w:type="dxa"/>
            <w:vAlign w:val="center"/>
          </w:tcPr>
          <w:p>
            <w:pPr>
              <w:adjustRightInd w:val="0"/>
              <w:snapToGrid w:val="0"/>
              <w:spacing w:line="400" w:lineRule="exact"/>
              <w:jc w:val="center"/>
              <w:rPr>
                <w:b/>
                <w:bCs/>
                <w:sz w:val="24"/>
              </w:rPr>
            </w:pPr>
            <w:r>
              <w:rPr>
                <w:rFonts w:hint="eastAsia"/>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1" w:type="dxa"/>
            <w:vAlign w:val="center"/>
          </w:tcPr>
          <w:p>
            <w:pPr>
              <w:adjustRightInd w:val="0"/>
              <w:snapToGrid w:val="0"/>
              <w:spacing w:line="400" w:lineRule="exact"/>
              <w:jc w:val="center"/>
              <w:rPr>
                <w:bCs/>
                <w:sz w:val="24"/>
              </w:rPr>
            </w:pPr>
            <w:r>
              <w:rPr>
                <w:rFonts w:hint="eastAsia"/>
                <w:sz w:val="28"/>
                <w:szCs w:val="28"/>
              </w:rPr>
              <w:t>瑞舒伐他汀钙原料药</w:t>
            </w:r>
          </w:p>
        </w:tc>
        <w:tc>
          <w:tcPr>
            <w:tcW w:w="1587" w:type="dxa"/>
            <w:vAlign w:val="center"/>
          </w:tcPr>
          <w:p>
            <w:pPr>
              <w:adjustRightInd w:val="0"/>
              <w:snapToGrid w:val="0"/>
              <w:spacing w:line="400" w:lineRule="exact"/>
              <w:jc w:val="center"/>
              <w:rPr>
                <w:bCs/>
                <w:sz w:val="24"/>
              </w:rPr>
            </w:pPr>
            <w:r>
              <w:rPr>
                <w:bCs/>
                <w:sz w:val="24"/>
              </w:rPr>
              <w:t>粉剂</w:t>
            </w:r>
          </w:p>
        </w:tc>
        <w:tc>
          <w:tcPr>
            <w:tcW w:w="2037" w:type="dxa"/>
            <w:vAlign w:val="center"/>
          </w:tcPr>
          <w:p>
            <w:pPr>
              <w:adjustRightInd w:val="0"/>
              <w:snapToGrid w:val="0"/>
              <w:spacing w:line="400" w:lineRule="exact"/>
              <w:jc w:val="center"/>
              <w:rPr>
                <w:bCs/>
                <w:sz w:val="24"/>
              </w:rPr>
            </w:pPr>
            <w:r>
              <w:rPr>
                <w:bCs/>
                <w:sz w:val="24"/>
              </w:rPr>
              <w:t>300kg</w:t>
            </w:r>
          </w:p>
        </w:tc>
        <w:tc>
          <w:tcPr>
            <w:tcW w:w="1812" w:type="dxa"/>
            <w:vAlign w:val="center"/>
          </w:tcPr>
          <w:p>
            <w:pPr>
              <w:adjustRightInd w:val="0"/>
              <w:snapToGrid w:val="0"/>
              <w:spacing w:line="400" w:lineRule="exact"/>
              <w:jc w:val="center"/>
              <w:rPr>
                <w:bCs/>
                <w:sz w:val="24"/>
              </w:rPr>
            </w:pPr>
            <w:r>
              <w:rPr>
                <w:rFonts w:hint="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1" w:type="dxa"/>
            <w:vAlign w:val="center"/>
          </w:tcPr>
          <w:p>
            <w:pPr>
              <w:adjustRightInd w:val="0"/>
              <w:snapToGrid w:val="0"/>
              <w:spacing w:line="400" w:lineRule="exact"/>
              <w:jc w:val="center"/>
              <w:rPr>
                <w:bCs/>
                <w:sz w:val="24"/>
              </w:rPr>
            </w:pPr>
            <w:r>
              <w:rPr>
                <w:rFonts w:hint="eastAsia"/>
                <w:sz w:val="28"/>
                <w:szCs w:val="28"/>
              </w:rPr>
              <w:t>坎地沙坦酯原料药</w:t>
            </w:r>
          </w:p>
        </w:tc>
        <w:tc>
          <w:tcPr>
            <w:tcW w:w="1587" w:type="dxa"/>
            <w:vAlign w:val="center"/>
          </w:tcPr>
          <w:p>
            <w:pPr>
              <w:adjustRightInd w:val="0"/>
              <w:snapToGrid w:val="0"/>
              <w:spacing w:line="400" w:lineRule="exact"/>
              <w:jc w:val="center"/>
              <w:rPr>
                <w:bCs/>
                <w:sz w:val="24"/>
              </w:rPr>
            </w:pPr>
            <w:r>
              <w:rPr>
                <w:bCs/>
                <w:sz w:val="24"/>
              </w:rPr>
              <w:t>粉剂</w:t>
            </w:r>
          </w:p>
        </w:tc>
        <w:tc>
          <w:tcPr>
            <w:tcW w:w="2037" w:type="dxa"/>
            <w:vAlign w:val="center"/>
          </w:tcPr>
          <w:p>
            <w:pPr>
              <w:adjustRightInd w:val="0"/>
              <w:snapToGrid w:val="0"/>
              <w:spacing w:line="400" w:lineRule="exact"/>
              <w:jc w:val="center"/>
              <w:rPr>
                <w:bCs/>
                <w:sz w:val="24"/>
              </w:rPr>
            </w:pPr>
            <w:r>
              <w:rPr>
                <w:rFonts w:hint="eastAsia"/>
                <w:bCs/>
                <w:sz w:val="24"/>
              </w:rPr>
              <w:t>1</w:t>
            </w:r>
            <w:r>
              <w:rPr>
                <w:bCs/>
                <w:sz w:val="24"/>
              </w:rPr>
              <w:t>000kg</w:t>
            </w:r>
          </w:p>
        </w:tc>
        <w:tc>
          <w:tcPr>
            <w:tcW w:w="1812" w:type="dxa"/>
            <w:vAlign w:val="center"/>
          </w:tcPr>
          <w:p>
            <w:pPr>
              <w:adjustRightInd w:val="0"/>
              <w:snapToGrid w:val="0"/>
              <w:spacing w:line="400" w:lineRule="exact"/>
              <w:jc w:val="center"/>
              <w:rPr>
                <w:bCs/>
                <w:sz w:val="24"/>
              </w:rPr>
            </w:pPr>
            <w:r>
              <w:rPr>
                <w:rFonts w:hint="eastAsia"/>
                <w:bCs/>
                <w:sz w:val="24"/>
              </w:rPr>
              <w:t>/</w:t>
            </w:r>
          </w:p>
        </w:tc>
      </w:tr>
    </w:tbl>
    <w:p>
      <w:pPr>
        <w:adjustRightInd w:val="0"/>
        <w:snapToGrid w:val="0"/>
        <w:spacing w:beforeLines="50" w:line="360" w:lineRule="auto"/>
        <w:rPr>
          <w:b/>
          <w:bCs/>
          <w:sz w:val="28"/>
          <w:szCs w:val="28"/>
        </w:rPr>
      </w:pPr>
      <w:r>
        <w:rPr>
          <w:rFonts w:hint="eastAsia"/>
          <w:b/>
          <w:bCs/>
          <w:sz w:val="28"/>
          <w:szCs w:val="28"/>
        </w:rPr>
        <w:t>2、主要原辅材料</w:t>
      </w:r>
    </w:p>
    <w:p>
      <w:pPr>
        <w:adjustRightInd w:val="0"/>
        <w:snapToGrid w:val="0"/>
        <w:spacing w:line="360" w:lineRule="auto"/>
        <w:ind w:firstLine="560" w:firstLineChars="200"/>
        <w:rPr>
          <w:sz w:val="28"/>
          <w:szCs w:val="28"/>
        </w:rPr>
      </w:pPr>
      <w:r>
        <w:rPr>
          <w:rFonts w:hint="eastAsia"/>
          <w:sz w:val="28"/>
          <w:szCs w:val="28"/>
        </w:rPr>
        <w:t>1、瑞舒伐他汀钙原料药每批次产量为1kg，其主要原辅材料见下表：</w:t>
      </w: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r>
        <w:rPr>
          <w:rFonts w:hint="eastAsia"/>
          <w:b/>
          <w:sz w:val="24"/>
        </w:rPr>
        <w:t>表4-3  瑞舒伐他汀钙原料药主要原辅料消耗量及来源表</w:t>
      </w:r>
    </w:p>
    <w:p>
      <w:pPr>
        <w:adjustRightInd w:val="0"/>
        <w:snapToGrid w:val="0"/>
        <w:spacing w:line="360" w:lineRule="auto"/>
        <w:ind w:firstLine="420" w:firstLineChars="200"/>
      </w:pPr>
      <w:r>
        <w:drawing>
          <wp:inline distT="0" distB="0" distL="0" distR="0">
            <wp:extent cx="5153025" cy="7019925"/>
            <wp:effectExtent l="19050" t="0" r="9525" b="0"/>
            <wp:docPr id="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2"/>
                    <pic:cNvPicPr>
                      <a:picLocks noChangeAspect="1" noChangeArrowheads="1"/>
                    </pic:cNvPicPr>
                  </pic:nvPicPr>
                  <pic:blipFill>
                    <a:blip r:embed="rId25"/>
                    <a:srcRect b="1221"/>
                    <a:stretch>
                      <a:fillRect/>
                    </a:stretch>
                  </pic:blipFill>
                  <pic:spPr>
                    <a:xfrm>
                      <a:off x="0" y="0"/>
                      <a:ext cx="5153025" cy="7019925"/>
                    </a:xfrm>
                    <a:prstGeom prst="rect">
                      <a:avLst/>
                    </a:prstGeom>
                    <a:noFill/>
                    <a:ln w="9525">
                      <a:noFill/>
                      <a:miter lim="800000"/>
                      <a:headEnd/>
                      <a:tailEnd/>
                    </a:ln>
                  </pic:spPr>
                </pic:pic>
              </a:graphicData>
            </a:graphic>
          </wp:inline>
        </w:drawing>
      </w:r>
    </w:p>
    <w:p>
      <w:pPr>
        <w:adjustRightInd w:val="0"/>
        <w:snapToGrid w:val="0"/>
        <w:spacing w:line="360" w:lineRule="auto"/>
        <w:ind w:firstLine="420" w:firstLineChars="200"/>
      </w:pPr>
      <w:r>
        <w:drawing>
          <wp:inline distT="0" distB="0" distL="114300" distR="114300">
            <wp:extent cx="4827270" cy="4104005"/>
            <wp:effectExtent l="0" t="0" r="11430" b="1079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cstate="print"/>
                    <a:stretch>
                      <a:fillRect/>
                    </a:stretch>
                  </pic:blipFill>
                  <pic:spPr>
                    <a:xfrm>
                      <a:off x="0" y="0"/>
                      <a:ext cx="4827270" cy="4104005"/>
                    </a:xfrm>
                    <a:prstGeom prst="rect">
                      <a:avLst/>
                    </a:prstGeom>
                    <a:noFill/>
                    <a:ln w="9525">
                      <a:noFill/>
                    </a:ln>
                  </pic:spPr>
                </pic:pic>
              </a:graphicData>
            </a:graphic>
          </wp:inline>
        </w:drawing>
      </w:r>
    </w:p>
    <w:p>
      <w:pPr>
        <w:adjustRightInd w:val="0"/>
        <w:snapToGrid w:val="0"/>
        <w:spacing w:line="360" w:lineRule="auto"/>
        <w:ind w:firstLine="560" w:firstLineChars="200"/>
        <w:rPr>
          <w:sz w:val="28"/>
          <w:szCs w:val="28"/>
        </w:rPr>
      </w:pPr>
      <w:r>
        <w:rPr>
          <w:rFonts w:hint="eastAsia"/>
          <w:sz w:val="28"/>
          <w:szCs w:val="28"/>
        </w:rPr>
        <w:t>2、坎地沙坦酯原料药每批次产量为</w:t>
      </w:r>
      <w:r>
        <w:rPr>
          <w:sz w:val="28"/>
          <w:szCs w:val="28"/>
        </w:rPr>
        <w:t>3.5</w:t>
      </w:r>
      <w:r>
        <w:rPr>
          <w:rFonts w:hint="eastAsia"/>
          <w:sz w:val="28"/>
          <w:szCs w:val="28"/>
        </w:rPr>
        <w:t>kg，其主要原辅材料见下表：</w:t>
      </w:r>
    </w:p>
    <w:p>
      <w:pPr>
        <w:adjustRightInd w:val="0"/>
        <w:snapToGrid w:val="0"/>
        <w:jc w:val="center"/>
        <w:rPr>
          <w:b/>
          <w:sz w:val="24"/>
        </w:rPr>
      </w:pPr>
      <w:r>
        <w:rPr>
          <w:rFonts w:hint="eastAsia"/>
          <w:b/>
          <w:sz w:val="24"/>
        </w:rPr>
        <w:t>表4-</w:t>
      </w:r>
      <w:r>
        <w:rPr>
          <w:b/>
          <w:sz w:val="24"/>
        </w:rPr>
        <w:t>4</w:t>
      </w:r>
      <w:r>
        <w:rPr>
          <w:rFonts w:hint="eastAsia"/>
          <w:b/>
          <w:sz w:val="24"/>
        </w:rPr>
        <w:t>坎地沙坦酯原料药主要原辅料消耗量及来源表</w:t>
      </w:r>
    </w:p>
    <w:p>
      <w:pPr>
        <w:adjustRightInd w:val="0"/>
        <w:snapToGrid w:val="0"/>
        <w:spacing w:line="360" w:lineRule="auto"/>
        <w:ind w:firstLine="420" w:firstLineChars="200"/>
      </w:pPr>
      <w:r>
        <w:drawing>
          <wp:inline distT="0" distB="0" distL="0" distR="0">
            <wp:extent cx="4953000" cy="4038600"/>
            <wp:effectExtent l="19050" t="0" r="0" b="0"/>
            <wp:docPr id="1"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
                    <pic:cNvPicPr>
                      <a:picLocks noChangeAspect="1" noChangeArrowheads="1"/>
                    </pic:cNvPicPr>
                  </pic:nvPicPr>
                  <pic:blipFill>
                    <a:blip r:embed="rId27"/>
                    <a:srcRect b="3459"/>
                    <a:stretch>
                      <a:fillRect/>
                    </a:stretch>
                  </pic:blipFill>
                  <pic:spPr>
                    <a:xfrm>
                      <a:off x="0" y="0"/>
                      <a:ext cx="4953000" cy="4038600"/>
                    </a:xfrm>
                    <a:prstGeom prst="rect">
                      <a:avLst/>
                    </a:prstGeom>
                    <a:noFill/>
                    <a:ln w="9525">
                      <a:noFill/>
                      <a:miter lim="800000"/>
                      <a:headEnd/>
                      <a:tailEnd/>
                    </a:ln>
                  </pic:spPr>
                </pic:pic>
              </a:graphicData>
            </a:graphic>
          </wp:inline>
        </w:drawing>
      </w:r>
    </w:p>
    <w:p>
      <w:pPr>
        <w:adjustRightInd w:val="0"/>
        <w:snapToGrid w:val="0"/>
        <w:spacing w:line="360" w:lineRule="auto"/>
        <w:ind w:firstLine="420" w:firstLineChars="200"/>
      </w:pPr>
      <w:r>
        <w:drawing>
          <wp:inline distT="0" distB="0" distL="114300" distR="114300">
            <wp:extent cx="4752975" cy="3285490"/>
            <wp:effectExtent l="0" t="0" r="9525" b="1016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8" cstate="print"/>
                    <a:stretch>
                      <a:fillRect/>
                    </a:stretch>
                  </pic:blipFill>
                  <pic:spPr>
                    <a:xfrm>
                      <a:off x="0" y="0"/>
                      <a:ext cx="4752975" cy="3285490"/>
                    </a:xfrm>
                    <a:prstGeom prst="rect">
                      <a:avLst/>
                    </a:prstGeom>
                    <a:noFill/>
                    <a:ln w="9525">
                      <a:noFill/>
                    </a:ln>
                  </pic:spPr>
                </pic:pic>
              </a:graphicData>
            </a:graphic>
          </wp:inline>
        </w:drawing>
      </w:r>
    </w:p>
    <w:p>
      <w:pPr>
        <w:adjustRightInd w:val="0"/>
        <w:snapToGrid w:val="0"/>
        <w:spacing w:line="360" w:lineRule="auto"/>
        <w:ind w:firstLine="560" w:firstLineChars="200"/>
        <w:rPr>
          <w:sz w:val="28"/>
          <w:szCs w:val="28"/>
        </w:rPr>
      </w:pPr>
      <w:r>
        <w:rPr>
          <w:sz w:val="28"/>
          <w:szCs w:val="28"/>
        </w:rPr>
        <w:t>3</w:t>
      </w:r>
      <w:r>
        <w:rPr>
          <w:rFonts w:hint="eastAsia"/>
          <w:sz w:val="28"/>
          <w:szCs w:val="28"/>
        </w:rPr>
        <w:t>、生产过程中合成的瑞舒伐他汀钙原料药中间物质详见下表：</w:t>
      </w:r>
    </w:p>
    <w:p>
      <w:pPr>
        <w:adjustRightInd w:val="0"/>
        <w:snapToGrid w:val="0"/>
        <w:jc w:val="center"/>
        <w:rPr>
          <w:b/>
          <w:sz w:val="24"/>
        </w:rPr>
      </w:pPr>
      <w:r>
        <w:rPr>
          <w:rFonts w:hint="eastAsia"/>
          <w:b/>
          <w:sz w:val="24"/>
        </w:rPr>
        <w:t>表4-</w:t>
      </w:r>
      <w:r>
        <w:rPr>
          <w:b/>
          <w:sz w:val="24"/>
        </w:rPr>
        <w:t>5</w:t>
      </w:r>
      <w:r>
        <w:rPr>
          <w:rFonts w:hint="eastAsia"/>
          <w:b/>
          <w:sz w:val="24"/>
        </w:rPr>
        <w:t>合成瑞舒伐他汀钙原料药的中间物质</w:t>
      </w:r>
    </w:p>
    <w:p>
      <w:pPr>
        <w:adjustRightInd w:val="0"/>
        <w:snapToGrid w:val="0"/>
        <w:spacing w:line="360" w:lineRule="auto"/>
        <w:rPr>
          <w:sz w:val="28"/>
          <w:szCs w:val="28"/>
        </w:rPr>
      </w:pPr>
      <w:r>
        <w:rPr>
          <w:sz w:val="28"/>
          <w:szCs w:val="28"/>
        </w:rPr>
        <w:drawing>
          <wp:inline distT="0" distB="0" distL="114300" distR="114300">
            <wp:extent cx="5390515" cy="2222500"/>
            <wp:effectExtent l="0" t="0" r="635" b="6350"/>
            <wp:docPr id="15"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2"/>
                    <pic:cNvPicPr>
                      <a:picLocks noChangeAspect="1"/>
                    </pic:cNvPicPr>
                  </pic:nvPicPr>
                  <pic:blipFill>
                    <a:blip r:embed="rId29" cstate="print"/>
                    <a:stretch>
                      <a:fillRect/>
                    </a:stretch>
                  </pic:blipFill>
                  <pic:spPr>
                    <a:xfrm>
                      <a:off x="0" y="0"/>
                      <a:ext cx="5390515" cy="2222500"/>
                    </a:xfrm>
                    <a:prstGeom prst="rect">
                      <a:avLst/>
                    </a:prstGeom>
                    <a:noFill/>
                    <a:ln w="9525">
                      <a:noFill/>
                    </a:ln>
                  </pic:spPr>
                </pic:pic>
              </a:graphicData>
            </a:graphic>
          </wp:inline>
        </w:drawing>
      </w:r>
    </w:p>
    <w:p>
      <w:pPr>
        <w:adjustRightInd w:val="0"/>
        <w:snapToGrid w:val="0"/>
        <w:spacing w:line="360" w:lineRule="auto"/>
        <w:ind w:firstLine="560" w:firstLineChars="200"/>
        <w:rPr>
          <w:sz w:val="28"/>
          <w:szCs w:val="28"/>
        </w:rPr>
      </w:pPr>
      <w:r>
        <w:rPr>
          <w:rFonts w:hint="eastAsia"/>
          <w:sz w:val="28"/>
          <w:szCs w:val="28"/>
        </w:rPr>
        <w:t>根据《危险化学品重大危险源辨识（GBI8218-2009）》原辅料中主要有苯、乙醚、乙醇、乙酸乙酯、一甲胺、甲醇、氟化氢等危险化学品。其理化性质如下：</w:t>
      </w:r>
    </w:p>
    <w:p>
      <w:pPr>
        <w:adjustRightInd w:val="0"/>
        <w:snapToGrid w:val="0"/>
        <w:spacing w:line="360" w:lineRule="auto"/>
        <w:ind w:firstLine="560" w:firstLineChars="200"/>
        <w:rPr>
          <w:sz w:val="28"/>
          <w:szCs w:val="28"/>
        </w:rPr>
      </w:pPr>
      <w:r>
        <w:rPr>
          <w:rFonts w:hint="eastAsia"/>
          <w:sz w:val="28"/>
          <w:szCs w:val="28"/>
        </w:rPr>
        <w:t>乙醇：CH</w:t>
      </w:r>
      <w:r>
        <w:rPr>
          <w:rFonts w:hint="eastAsia"/>
          <w:sz w:val="28"/>
          <w:szCs w:val="28"/>
          <w:vertAlign w:val="subscript"/>
        </w:rPr>
        <w:t>3</w:t>
      </w:r>
      <w:r>
        <w:rPr>
          <w:rFonts w:hint="eastAsia"/>
          <w:sz w:val="28"/>
          <w:szCs w:val="28"/>
        </w:rPr>
        <w:t>CH</w:t>
      </w:r>
      <w:r>
        <w:rPr>
          <w:rFonts w:hint="eastAsia"/>
          <w:sz w:val="28"/>
          <w:szCs w:val="28"/>
          <w:vertAlign w:val="subscript"/>
        </w:rPr>
        <w:t>2</w:t>
      </w:r>
      <w:r>
        <w:rPr>
          <w:sz w:val="28"/>
          <w:szCs w:val="28"/>
        </w:rPr>
        <w:t>O</w:t>
      </w:r>
      <w:r>
        <w:rPr>
          <w:rFonts w:hint="eastAsia"/>
          <w:sz w:val="28"/>
          <w:szCs w:val="28"/>
        </w:rPr>
        <w:t>H，俗称酒精，无色透明易挥发和易燃气体。危险分类及编号：易燃液体45。密度0.7893，熔点-117.3℃，沸点78.4℃。溶于水、甲酸、乙醚等，闪点13℃，自燃点363℃，蒸汽能与空气形成爆炸性化合物，爆炸极限3.3%～19%，遇高热、明火有引起着火、爆炸危险，燃烧时发出蓝色火焰，在火焰中受热的容器有爆裂危险。</w:t>
      </w:r>
    </w:p>
    <w:p>
      <w:pPr>
        <w:adjustRightInd w:val="0"/>
        <w:snapToGrid w:val="0"/>
        <w:spacing w:line="360" w:lineRule="auto"/>
        <w:ind w:firstLine="560" w:firstLineChars="200"/>
        <w:rPr>
          <w:sz w:val="28"/>
          <w:szCs w:val="28"/>
        </w:rPr>
      </w:pPr>
      <w:r>
        <w:rPr>
          <w:rFonts w:hint="eastAsia"/>
          <w:sz w:val="28"/>
          <w:szCs w:val="28"/>
        </w:rPr>
        <w:t>乙酸乙酯：CH</w:t>
      </w:r>
      <w:r>
        <w:rPr>
          <w:rFonts w:hint="eastAsia"/>
          <w:sz w:val="28"/>
          <w:szCs w:val="28"/>
          <w:vertAlign w:val="subscript"/>
        </w:rPr>
        <w:t>3</w:t>
      </w:r>
      <w:r>
        <w:rPr>
          <w:rFonts w:hint="eastAsia"/>
          <w:sz w:val="28"/>
          <w:szCs w:val="28"/>
        </w:rPr>
        <w:t>COOCH</w:t>
      </w:r>
      <w:r>
        <w:rPr>
          <w:rFonts w:hint="eastAsia"/>
          <w:sz w:val="28"/>
          <w:szCs w:val="28"/>
          <w:vertAlign w:val="subscript"/>
        </w:rPr>
        <w:t>2</w:t>
      </w:r>
      <w:r>
        <w:rPr>
          <w:rFonts w:hint="eastAsia"/>
          <w:sz w:val="28"/>
          <w:szCs w:val="28"/>
        </w:rPr>
        <w:t>CH</w:t>
      </w:r>
      <w:r>
        <w:rPr>
          <w:rFonts w:hint="eastAsia"/>
          <w:sz w:val="28"/>
          <w:szCs w:val="28"/>
          <w:vertAlign w:val="subscript"/>
        </w:rPr>
        <w:t>3</w:t>
      </w:r>
      <w:r>
        <w:rPr>
          <w:rFonts w:hint="eastAsia"/>
          <w:sz w:val="28"/>
          <w:szCs w:val="28"/>
        </w:rPr>
        <w:t>，别名醋酸乙酯，危险分类及编号：易燃液体47。无色澄清液体，有芳香气味，易挥发，微溶于水，溶于醇、酮、醚、氯仿等多数有机溶剂。熔点-83.6℃，沸点77.2℃，闪点-4℃，相对密度（水＝1)0.90，相对密度（空气＝1)3.04。</w:t>
      </w:r>
    </w:p>
    <w:p>
      <w:pPr>
        <w:adjustRightInd w:val="0"/>
        <w:snapToGrid w:val="0"/>
        <w:spacing w:line="360" w:lineRule="auto"/>
        <w:ind w:firstLine="560" w:firstLineChars="200"/>
        <w:rPr>
          <w:sz w:val="28"/>
          <w:szCs w:val="28"/>
        </w:rPr>
      </w:pPr>
      <w:r>
        <w:rPr>
          <w:rFonts w:hint="eastAsia"/>
          <w:sz w:val="28"/>
          <w:szCs w:val="28"/>
        </w:rPr>
        <w:t>乙醚：C</w:t>
      </w:r>
      <w:r>
        <w:rPr>
          <w:rFonts w:hint="eastAsia"/>
          <w:sz w:val="28"/>
          <w:szCs w:val="28"/>
          <w:vertAlign w:val="subscript"/>
        </w:rPr>
        <w:t>4</w:t>
      </w:r>
      <w:r>
        <w:rPr>
          <w:rFonts w:hint="eastAsia"/>
          <w:sz w:val="28"/>
          <w:szCs w:val="28"/>
        </w:rPr>
        <w:t>H</w:t>
      </w:r>
      <w:r>
        <w:rPr>
          <w:rFonts w:hint="eastAsia"/>
          <w:sz w:val="28"/>
          <w:szCs w:val="28"/>
          <w:vertAlign w:val="subscript"/>
        </w:rPr>
        <w:t>10</w:t>
      </w:r>
      <w:r>
        <w:rPr>
          <w:sz w:val="28"/>
          <w:szCs w:val="28"/>
        </w:rPr>
        <w:t>O</w:t>
      </w:r>
      <w:r>
        <w:rPr>
          <w:rFonts w:hint="eastAsia"/>
          <w:sz w:val="28"/>
          <w:szCs w:val="28"/>
        </w:rPr>
        <w:t>，也称作二乙（基）醚。危险分类及编号：易燃液体46。熔点116.2℃，沸点34.6℃，无色透明液体，有芳香气味，极易挥发，微溶于水，溶于乙醇、苯、氯仿等多数有机溶剂。其蒸气与空气可形成爆炸性混合物，遇明火、高热极易燃烧爆炸。在火场中，受热的容器有爆炸危险。其蒸气比空气重，能在较低处扩散到相当远的地方，边明火会引着回燃。燃烧（分解）产物：一氧化碳、二氧化碳。</w:t>
      </w:r>
    </w:p>
    <w:p>
      <w:pPr>
        <w:adjustRightInd w:val="0"/>
        <w:snapToGrid w:val="0"/>
        <w:spacing w:line="360" w:lineRule="auto"/>
        <w:ind w:firstLine="560" w:firstLineChars="200"/>
        <w:rPr>
          <w:sz w:val="28"/>
          <w:szCs w:val="28"/>
        </w:rPr>
      </w:pPr>
      <w:r>
        <w:rPr>
          <w:rFonts w:hint="eastAsia"/>
          <w:sz w:val="28"/>
          <w:szCs w:val="28"/>
        </w:rPr>
        <w:t>苯：C</w:t>
      </w:r>
      <w:r>
        <w:rPr>
          <w:rFonts w:hint="eastAsia"/>
          <w:sz w:val="28"/>
          <w:szCs w:val="28"/>
          <w:vertAlign w:val="subscript"/>
        </w:rPr>
        <w:t>6</w:t>
      </w:r>
      <w:r>
        <w:rPr>
          <w:rFonts w:hint="eastAsia"/>
          <w:sz w:val="28"/>
          <w:szCs w:val="28"/>
        </w:rPr>
        <w:t>H</w:t>
      </w:r>
      <w:r>
        <w:rPr>
          <w:rFonts w:hint="eastAsia"/>
          <w:sz w:val="28"/>
          <w:szCs w:val="28"/>
          <w:vertAlign w:val="subscript"/>
        </w:rPr>
        <w:t>6</w:t>
      </w:r>
      <w:r>
        <w:rPr>
          <w:rFonts w:hint="eastAsia"/>
          <w:sz w:val="28"/>
          <w:szCs w:val="28"/>
        </w:rPr>
        <w:t>，危险分类及编号：易燃液体35，无色透明液体，有强烈芳香味，熔点5.5℃，沸点：80.1℃，蒸汽压13.33kPa/26.1℃，闪点：-11℃，相对密度（水＝1)0.88；相对密度（空气＝1)2.77，不溶于水，溶于醇、醚、丙酮等多数有机溶剂。其蒸气与空气可形成爆炸性混合物，遇明火、高热极易燃烧爆炸，与氧化剂能发生强烈反应，易产生和聚集静电，有燃烧爆炸危险。</w:t>
      </w:r>
    </w:p>
    <w:p>
      <w:pPr>
        <w:adjustRightInd w:val="0"/>
        <w:snapToGrid w:val="0"/>
        <w:spacing w:line="360" w:lineRule="auto"/>
        <w:ind w:firstLine="560" w:firstLineChars="200"/>
        <w:rPr>
          <w:sz w:val="28"/>
          <w:szCs w:val="28"/>
        </w:rPr>
      </w:pPr>
      <w:r>
        <w:rPr>
          <w:rFonts w:hint="eastAsia"/>
          <w:sz w:val="28"/>
          <w:szCs w:val="28"/>
        </w:rPr>
        <w:t>一甲胺：CH</w:t>
      </w:r>
      <w:r>
        <w:rPr>
          <w:rFonts w:hint="eastAsia"/>
          <w:sz w:val="28"/>
          <w:szCs w:val="28"/>
          <w:vertAlign w:val="subscript"/>
        </w:rPr>
        <w:t>3</w:t>
      </w:r>
      <w:r>
        <w:rPr>
          <w:rFonts w:hint="eastAsia"/>
          <w:sz w:val="28"/>
          <w:szCs w:val="28"/>
        </w:rPr>
        <w:t>NH</w:t>
      </w:r>
      <w:r>
        <w:rPr>
          <w:sz w:val="28"/>
          <w:szCs w:val="28"/>
          <w:vertAlign w:val="subscript"/>
        </w:rPr>
        <w:t>2</w:t>
      </w:r>
      <w:r>
        <w:rPr>
          <w:rFonts w:hint="eastAsia"/>
          <w:sz w:val="28"/>
          <w:szCs w:val="28"/>
        </w:rPr>
        <w:t>，又称甲胺、氨基甲胺，危险分类及编号：易燃气体15，CAS号74-89-5。无色气体，有似氨的气味，烙点-93.5℃，沸点：6.8℃，蒸汽压202.65kPa/25℃，闪点：10℃，相对密度（水＝1)0.66；相对密度（空气＝1)1.09，易溶物水，溶于乙醇、乙醚等。本项目具有强烈刺激性和腐蚀性，与空气混合能形成爆炸性混合物，接触热、火星、火焰或氧化剂易燃烧爆炸。燃烧（分解）产物：氧化碳、二氧化碳、氧化氮。</w:t>
      </w:r>
    </w:p>
    <w:p>
      <w:pPr>
        <w:adjustRightInd w:val="0"/>
        <w:snapToGrid w:val="0"/>
        <w:spacing w:line="360" w:lineRule="auto"/>
        <w:ind w:firstLine="560" w:firstLineChars="200"/>
        <w:rPr>
          <w:sz w:val="28"/>
          <w:szCs w:val="28"/>
        </w:rPr>
      </w:pPr>
      <w:r>
        <w:rPr>
          <w:rFonts w:hint="eastAsia"/>
          <w:sz w:val="28"/>
          <w:szCs w:val="28"/>
        </w:rPr>
        <w:t>甲醇：CH</w:t>
      </w:r>
      <w:r>
        <w:rPr>
          <w:rFonts w:hint="eastAsia"/>
          <w:sz w:val="28"/>
          <w:szCs w:val="28"/>
          <w:vertAlign w:val="subscript"/>
        </w:rPr>
        <w:t>3</w:t>
      </w:r>
      <w:r>
        <w:rPr>
          <w:sz w:val="28"/>
          <w:szCs w:val="28"/>
        </w:rPr>
        <w:t>O</w:t>
      </w:r>
      <w:r>
        <w:rPr>
          <w:rFonts w:hint="eastAsia"/>
          <w:sz w:val="28"/>
          <w:szCs w:val="28"/>
        </w:rPr>
        <w:t>H，别名木酒精，危险分类及编号：易燃液体4</w:t>
      </w:r>
      <w:r>
        <w:rPr>
          <w:sz w:val="28"/>
          <w:szCs w:val="28"/>
        </w:rPr>
        <w:t>3</w:t>
      </w:r>
      <w:r>
        <w:rPr>
          <w:rFonts w:hint="eastAsia"/>
          <w:sz w:val="28"/>
          <w:szCs w:val="28"/>
        </w:rPr>
        <w:t>，CAS号67-56-1。无色澄清液体，有刺激性气味，熔点，97.8℃，沸点：64.8℃，蒸汽压13.33kPa/21.2℃，闪点：11℃，相对密度（水＝1)0.79；相对密度（空气＝1)1.11，溶于水，可混溶于醇、醚等多数有机溶剂。其蒸气与空气可形成爆炸性混合物，遇明火、高热能引起燃烧爆炸，与氧化剂接触发生化学反应或引起燃烧。在火场中，受热的容器有爆炸危险。</w:t>
      </w:r>
    </w:p>
    <w:p>
      <w:pPr>
        <w:adjustRightInd w:val="0"/>
        <w:snapToGrid w:val="0"/>
        <w:spacing w:line="360" w:lineRule="auto"/>
        <w:ind w:firstLine="560" w:firstLineChars="200"/>
        <w:rPr>
          <w:sz w:val="28"/>
          <w:szCs w:val="28"/>
        </w:rPr>
      </w:pPr>
      <w:r>
        <w:rPr>
          <w:rFonts w:hint="eastAsia"/>
          <w:sz w:val="28"/>
          <w:szCs w:val="28"/>
        </w:rPr>
        <w:t>氟化氢：HF，别名氢氟酸，危险分类及编号：毒性物质68。无色液体或气体，熔点－83.7℃沸点：19.5℃，蒸汽压53.32kPa(2.5℃），相对密度（水＝1)1.15；相对密度（空气＝1)1.27,易溶于水。为酸性腐蚀品，腐蚀性极强，对呼吸道粘膜及皮肤有强烈的剌激和腐蚀作用。若遇高热，容器内压增大，有开裂和爆炸的危险。</w:t>
      </w:r>
    </w:p>
    <w:p>
      <w:pPr>
        <w:adjustRightInd w:val="0"/>
        <w:snapToGrid w:val="0"/>
        <w:spacing w:line="360" w:lineRule="auto"/>
        <w:rPr>
          <w:b/>
          <w:bCs/>
          <w:sz w:val="28"/>
          <w:szCs w:val="28"/>
        </w:rPr>
      </w:pPr>
      <w:r>
        <w:rPr>
          <w:rFonts w:hint="eastAsia"/>
          <w:b/>
          <w:bCs/>
          <w:sz w:val="28"/>
          <w:szCs w:val="28"/>
        </w:rPr>
        <w:t>3、主要生产设备</w:t>
      </w:r>
    </w:p>
    <w:p>
      <w:pPr>
        <w:adjustRightInd w:val="0"/>
        <w:snapToGrid w:val="0"/>
        <w:spacing w:line="360" w:lineRule="auto"/>
        <w:ind w:firstLine="560" w:firstLineChars="200"/>
        <w:rPr>
          <w:b/>
          <w:bCs/>
          <w:sz w:val="28"/>
          <w:szCs w:val="28"/>
        </w:rPr>
      </w:pPr>
      <w:r>
        <w:rPr>
          <w:rFonts w:hint="eastAsia"/>
          <w:sz w:val="28"/>
          <w:szCs w:val="28"/>
        </w:rPr>
        <w:t>1、瑞舒伐他汀钙原料药中试生产涉及的主要设备见下表：</w:t>
      </w:r>
    </w:p>
    <w:p>
      <w:pPr>
        <w:adjustRightInd w:val="0"/>
        <w:snapToGrid w:val="0"/>
        <w:ind w:firstLine="482"/>
        <w:jc w:val="center"/>
        <w:rPr>
          <w:b/>
          <w:sz w:val="24"/>
        </w:rPr>
      </w:pPr>
      <w:r>
        <w:rPr>
          <w:b/>
          <w:sz w:val="24"/>
        </w:rPr>
        <w:br w:type="page"/>
      </w:r>
      <w:r>
        <w:rPr>
          <w:rFonts w:hint="eastAsia"/>
          <w:b/>
          <w:sz w:val="22"/>
        </w:rPr>
        <w:t>表4-</w:t>
      </w:r>
      <w:r>
        <w:rPr>
          <w:b/>
          <w:sz w:val="22"/>
        </w:rPr>
        <w:t>6</w:t>
      </w:r>
      <w:r>
        <w:rPr>
          <w:rFonts w:hint="eastAsia"/>
          <w:b/>
          <w:sz w:val="22"/>
        </w:rPr>
        <w:t>瑞舒伐他汀钙原料药主要生产设备一览表</w:t>
      </w:r>
    </w:p>
    <w:p>
      <w:pPr>
        <w:adjustRightInd w:val="0"/>
        <w:snapToGrid w:val="0"/>
        <w:jc w:val="center"/>
        <w:rPr>
          <w:b/>
          <w:sz w:val="24"/>
        </w:rPr>
      </w:pPr>
      <w:r>
        <w:rPr>
          <w:b/>
          <w:sz w:val="24"/>
        </w:rPr>
        <w:drawing>
          <wp:inline distT="0" distB="0" distL="114300" distR="114300">
            <wp:extent cx="4582795" cy="8771890"/>
            <wp:effectExtent l="0" t="0" r="8255" b="10160"/>
            <wp:docPr id="16"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3"/>
                    <pic:cNvPicPr>
                      <a:picLocks noChangeAspect="1"/>
                    </pic:cNvPicPr>
                  </pic:nvPicPr>
                  <pic:blipFill>
                    <a:blip r:embed="rId30" cstate="print"/>
                    <a:stretch>
                      <a:fillRect/>
                    </a:stretch>
                  </pic:blipFill>
                  <pic:spPr>
                    <a:xfrm>
                      <a:off x="0" y="0"/>
                      <a:ext cx="4582795" cy="8771890"/>
                    </a:xfrm>
                    <a:prstGeom prst="rect">
                      <a:avLst/>
                    </a:prstGeom>
                    <a:noFill/>
                    <a:ln w="9525">
                      <a:noFill/>
                    </a:ln>
                  </pic:spPr>
                </pic:pic>
              </a:graphicData>
            </a:graphic>
          </wp:inline>
        </w:drawing>
      </w:r>
      <w:r>
        <w:rPr>
          <w:b/>
          <w:sz w:val="24"/>
        </w:rPr>
        <w:drawing>
          <wp:inline distT="0" distB="0" distL="114300" distR="114300">
            <wp:extent cx="4603750" cy="5614035"/>
            <wp:effectExtent l="0" t="0" r="6350" b="5715"/>
            <wp:docPr id="17" name="图片 13" descr="4"/>
            <wp:cNvGraphicFramePr/>
            <a:graphic xmlns:a="http://schemas.openxmlformats.org/drawingml/2006/main">
              <a:graphicData uri="http://schemas.openxmlformats.org/drawingml/2006/picture">
                <pic:pic xmlns:pic="http://schemas.openxmlformats.org/drawingml/2006/picture">
                  <pic:nvPicPr>
                    <pic:cNvPr id="17" name="图片 13" descr="4"/>
                    <pic:cNvPicPr preferRelativeResize="0"/>
                  </pic:nvPicPr>
                  <pic:blipFill>
                    <a:blip r:embed="rId31" cstate="print"/>
                    <a:stretch>
                      <a:fillRect/>
                    </a:stretch>
                  </pic:blipFill>
                  <pic:spPr>
                    <a:xfrm>
                      <a:off x="0" y="0"/>
                      <a:ext cx="4603750" cy="5614035"/>
                    </a:xfrm>
                    <a:prstGeom prst="rect">
                      <a:avLst/>
                    </a:prstGeom>
                    <a:noFill/>
                    <a:ln w="9525">
                      <a:noFill/>
                    </a:ln>
                  </pic:spPr>
                </pic:pic>
              </a:graphicData>
            </a:graphic>
          </wp:inline>
        </w:drawing>
      </w:r>
    </w:p>
    <w:p>
      <w:pPr>
        <w:adjustRightInd w:val="0"/>
        <w:snapToGrid w:val="0"/>
        <w:spacing w:beforeLines="50" w:line="360" w:lineRule="auto"/>
        <w:ind w:firstLine="560" w:firstLineChars="200"/>
        <w:rPr>
          <w:sz w:val="28"/>
          <w:szCs w:val="28"/>
        </w:rPr>
      </w:pPr>
      <w:r>
        <w:rPr>
          <w:rFonts w:hint="eastAsia"/>
          <w:sz w:val="28"/>
          <w:szCs w:val="28"/>
        </w:rPr>
        <w:t>2、坎地沙坦酯原料药中试生产涉及的主要设备见下表：</w:t>
      </w:r>
    </w:p>
    <w:p>
      <w:pPr>
        <w:adjustRightInd w:val="0"/>
        <w:snapToGrid w:val="0"/>
        <w:ind w:firstLine="482" w:firstLineChars="200"/>
        <w:jc w:val="center"/>
        <w:rPr>
          <w:sz w:val="28"/>
          <w:szCs w:val="28"/>
        </w:rPr>
      </w:pPr>
      <w:r>
        <w:rPr>
          <w:rFonts w:hint="eastAsia"/>
          <w:b/>
          <w:sz w:val="24"/>
        </w:rPr>
        <w:t>表4-</w:t>
      </w:r>
      <w:r>
        <w:rPr>
          <w:b/>
          <w:sz w:val="24"/>
        </w:rPr>
        <w:t>7</w:t>
      </w:r>
      <w:r>
        <w:rPr>
          <w:rFonts w:hint="eastAsia"/>
          <w:b/>
          <w:sz w:val="24"/>
        </w:rPr>
        <w:t>坎地沙坦酯原料药主要生产设备一览表</w:t>
      </w:r>
    </w:p>
    <w:p>
      <w:pPr>
        <w:adjustRightInd w:val="0"/>
        <w:snapToGrid w:val="0"/>
        <w:jc w:val="center"/>
        <w:rPr>
          <w:b/>
          <w:sz w:val="24"/>
        </w:rPr>
      </w:pPr>
      <w:r>
        <w:rPr>
          <w:sz w:val="28"/>
          <w:szCs w:val="28"/>
        </w:rPr>
        <w:drawing>
          <wp:inline distT="0" distB="0" distL="114300" distR="114300">
            <wp:extent cx="4592955" cy="2647315"/>
            <wp:effectExtent l="0" t="0" r="17145" b="635"/>
            <wp:docPr id="18" name="图片 14" descr="5"/>
            <wp:cNvGraphicFramePr/>
            <a:graphic xmlns:a="http://schemas.openxmlformats.org/drawingml/2006/main">
              <a:graphicData uri="http://schemas.openxmlformats.org/drawingml/2006/picture">
                <pic:pic xmlns:pic="http://schemas.openxmlformats.org/drawingml/2006/picture">
                  <pic:nvPicPr>
                    <pic:cNvPr id="18" name="图片 14" descr="5"/>
                    <pic:cNvPicPr preferRelativeResize="0"/>
                  </pic:nvPicPr>
                  <pic:blipFill>
                    <a:blip r:embed="rId32" cstate="print"/>
                    <a:stretch>
                      <a:fillRect/>
                    </a:stretch>
                  </pic:blipFill>
                  <pic:spPr>
                    <a:xfrm>
                      <a:off x="0" y="0"/>
                      <a:ext cx="4592955" cy="2647315"/>
                    </a:xfrm>
                    <a:prstGeom prst="rect">
                      <a:avLst/>
                    </a:prstGeom>
                    <a:noFill/>
                    <a:ln w="9525">
                      <a:noFill/>
                    </a:ln>
                  </pic:spPr>
                </pic:pic>
              </a:graphicData>
            </a:graphic>
          </wp:inline>
        </w:drawing>
      </w:r>
      <w:r>
        <w:rPr>
          <w:sz w:val="28"/>
          <w:szCs w:val="28"/>
        </w:rPr>
        <w:br w:type="page"/>
      </w:r>
      <w:r>
        <w:rPr>
          <w:b/>
          <w:sz w:val="24"/>
        </w:rPr>
        <w:drawing>
          <wp:inline distT="0" distB="0" distL="114300" distR="114300">
            <wp:extent cx="4551045" cy="8973820"/>
            <wp:effectExtent l="0" t="0" r="1905" b="17780"/>
            <wp:docPr id="19"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7"/>
                    <pic:cNvPicPr>
                      <a:picLocks noChangeAspect="1"/>
                    </pic:cNvPicPr>
                  </pic:nvPicPr>
                  <pic:blipFill>
                    <a:blip r:embed="rId33" cstate="print"/>
                    <a:stretch>
                      <a:fillRect/>
                    </a:stretch>
                  </pic:blipFill>
                  <pic:spPr>
                    <a:xfrm>
                      <a:off x="0" y="0"/>
                      <a:ext cx="4551045" cy="8973820"/>
                    </a:xfrm>
                    <a:prstGeom prst="rect">
                      <a:avLst/>
                    </a:prstGeom>
                    <a:noFill/>
                    <a:ln w="9525">
                      <a:noFill/>
                    </a:ln>
                  </pic:spPr>
                </pic:pic>
              </a:graphicData>
            </a:graphic>
          </wp:inline>
        </w:drawing>
      </w:r>
    </w:p>
    <w:p>
      <w:pPr>
        <w:spacing w:line="360" w:lineRule="auto"/>
        <w:rPr>
          <w:b/>
          <w:sz w:val="28"/>
          <w:szCs w:val="28"/>
        </w:rPr>
      </w:pPr>
      <w:bookmarkStart w:id="32" w:name="_Toc472085770"/>
      <w:bookmarkStart w:id="33" w:name="_Toc4981"/>
      <w:r>
        <w:rPr>
          <w:rFonts w:hint="eastAsia"/>
          <w:b/>
          <w:sz w:val="28"/>
          <w:szCs w:val="28"/>
        </w:rPr>
        <w:t>4、工艺流程</w:t>
      </w:r>
      <w:bookmarkEnd w:id="32"/>
      <w:bookmarkEnd w:id="33"/>
    </w:p>
    <w:bookmarkEnd w:id="28"/>
    <w:bookmarkEnd w:id="29"/>
    <w:bookmarkEnd w:id="30"/>
    <w:bookmarkEnd w:id="31"/>
    <w:p>
      <w:pPr>
        <w:pStyle w:val="36"/>
        <w:ind w:firstLine="560"/>
        <w:rPr>
          <w:kern w:val="2"/>
          <w:sz w:val="28"/>
          <w:szCs w:val="28"/>
        </w:rPr>
      </w:pPr>
      <w:r>
        <w:rPr>
          <w:rFonts w:hint="eastAsia"/>
          <w:kern w:val="2"/>
          <w:sz w:val="28"/>
          <w:szCs w:val="28"/>
        </w:rPr>
        <w:t>本场地建设的项目为瑞舒伐他汀钙原料药和坎地沙坦酯原料药的中试生产，将原料药化学合成工艺的前几步工艺安置在医药中间体车间完成，得到原料药所需的医药中间体，将后续对车间空气质量和管理质量要求较高的工艺安置在原料药生产车间内进行。</w:t>
      </w:r>
    </w:p>
    <w:p>
      <w:pPr>
        <w:pStyle w:val="36"/>
        <w:ind w:firstLine="560"/>
        <w:rPr>
          <w:kern w:val="2"/>
          <w:sz w:val="28"/>
          <w:szCs w:val="28"/>
        </w:rPr>
      </w:pPr>
      <w:r>
        <w:rPr>
          <w:rFonts w:hint="eastAsia"/>
          <w:kern w:val="2"/>
          <w:sz w:val="28"/>
          <w:szCs w:val="28"/>
        </w:rPr>
        <w:t>（1）瑞舒伐他汀钙原料药生产工艺过程大致分为八步：①环合产物1#的制备；②氧化产物2#的制备；③磺酰胺化合物3#的制备；④氧化产物醛4#的制备；⑤缩合产物5#的制备；⑥还原产物6#的制备；⑦水解产物7#的制备；⑧瑞舒伐他汀钙的制备。</w:t>
      </w:r>
    </w:p>
    <w:p>
      <w:pPr>
        <w:pStyle w:val="36"/>
        <w:ind w:firstLine="560"/>
        <w:rPr>
          <w:kern w:val="2"/>
          <w:sz w:val="28"/>
          <w:szCs w:val="28"/>
        </w:rPr>
      </w:pPr>
      <w:r>
        <w:rPr>
          <w:kern w:val="2"/>
          <w:sz w:val="28"/>
          <w:szCs w:val="28"/>
        </w:rPr>
        <w:t>具体工艺流程如下</w:t>
      </w:r>
      <w:r>
        <w:rPr>
          <w:rFonts w:hint="eastAsia"/>
          <w:kern w:val="2"/>
          <w:sz w:val="28"/>
          <w:szCs w:val="28"/>
        </w:rPr>
        <w:t>：</w:t>
      </w:r>
    </w:p>
    <w:p>
      <w:pPr>
        <w:pStyle w:val="36"/>
        <w:ind w:firstLine="0" w:firstLineChars="0"/>
        <w:jc w:val="left"/>
      </w:pPr>
      <w:r>
        <w:drawing>
          <wp:inline distT="0" distB="0" distL="114300" distR="114300">
            <wp:extent cx="2679700" cy="4423410"/>
            <wp:effectExtent l="0" t="0" r="6350" b="1524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4" cstate="print"/>
                    <a:stretch>
                      <a:fillRect/>
                    </a:stretch>
                  </pic:blipFill>
                  <pic:spPr>
                    <a:xfrm>
                      <a:off x="0" y="0"/>
                      <a:ext cx="2679700" cy="4423410"/>
                    </a:xfrm>
                    <a:prstGeom prst="rect">
                      <a:avLst/>
                    </a:prstGeom>
                    <a:noFill/>
                    <a:ln w="9525">
                      <a:noFill/>
                    </a:ln>
                  </pic:spPr>
                </pic:pic>
              </a:graphicData>
            </a:graphic>
          </wp:inline>
        </w:drawing>
      </w:r>
      <w:r>
        <w:rPr>
          <w:rFonts w:hint="eastAsia"/>
        </w:rPr>
        <w:t xml:space="preserve"> </w:t>
      </w:r>
      <w:r>
        <w:drawing>
          <wp:inline distT="0" distB="0" distL="114300" distR="114300">
            <wp:extent cx="2828290" cy="3731895"/>
            <wp:effectExtent l="0" t="0" r="10160" b="19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5" cstate="print"/>
                    <a:stretch>
                      <a:fillRect/>
                    </a:stretch>
                  </pic:blipFill>
                  <pic:spPr>
                    <a:xfrm>
                      <a:off x="0" y="0"/>
                      <a:ext cx="2828290" cy="3731895"/>
                    </a:xfrm>
                    <a:prstGeom prst="rect">
                      <a:avLst/>
                    </a:prstGeom>
                    <a:noFill/>
                    <a:ln w="9525">
                      <a:noFill/>
                    </a:ln>
                  </pic:spPr>
                </pic:pic>
              </a:graphicData>
            </a:graphic>
          </wp:inline>
        </w:drawing>
      </w:r>
    </w:p>
    <w:p>
      <w:pPr>
        <w:pStyle w:val="36"/>
        <w:ind w:firstLine="354" w:firstLineChars="147"/>
        <w:jc w:val="left"/>
        <w:rPr>
          <w:b/>
          <w:kern w:val="2"/>
          <w:sz w:val="28"/>
          <w:szCs w:val="28"/>
        </w:rPr>
      </w:pPr>
      <w:r>
        <w:rPr>
          <w:rFonts w:hint="eastAsia"/>
          <w:b/>
          <w:kern w:val="2"/>
        </w:rPr>
        <w:t>图4-</w:t>
      </w:r>
      <w:r>
        <w:rPr>
          <w:b/>
          <w:kern w:val="2"/>
        </w:rPr>
        <w:t>2</w:t>
      </w:r>
      <w:r>
        <w:rPr>
          <w:rFonts w:hint="eastAsia"/>
          <w:b/>
          <w:kern w:val="2"/>
        </w:rPr>
        <w:t xml:space="preserve">  ①环合产物1#的制备              图4-</w:t>
      </w:r>
      <w:r>
        <w:rPr>
          <w:b/>
          <w:kern w:val="2"/>
        </w:rPr>
        <w:t>3</w:t>
      </w:r>
      <w:r>
        <w:rPr>
          <w:rFonts w:hint="eastAsia"/>
          <w:b/>
          <w:kern w:val="2"/>
        </w:rPr>
        <w:t xml:space="preserve">  ②氧化产物2#的制备</w:t>
      </w:r>
    </w:p>
    <w:p>
      <w:pPr>
        <w:pStyle w:val="36"/>
        <w:ind w:firstLine="0" w:firstLineChars="0"/>
        <w:rPr>
          <w:kern w:val="2"/>
        </w:rPr>
      </w:pPr>
      <w:r>
        <w:drawing>
          <wp:inline distT="0" distB="0" distL="114300" distR="114300">
            <wp:extent cx="2817495" cy="5220335"/>
            <wp:effectExtent l="0" t="0" r="1905" b="1841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6" cstate="print"/>
                    <a:stretch>
                      <a:fillRect/>
                    </a:stretch>
                  </pic:blipFill>
                  <pic:spPr>
                    <a:xfrm>
                      <a:off x="0" y="0"/>
                      <a:ext cx="2817495" cy="5220335"/>
                    </a:xfrm>
                    <a:prstGeom prst="rect">
                      <a:avLst/>
                    </a:prstGeom>
                    <a:noFill/>
                    <a:ln w="9525">
                      <a:noFill/>
                    </a:ln>
                  </pic:spPr>
                </pic:pic>
              </a:graphicData>
            </a:graphic>
          </wp:inline>
        </w:drawing>
      </w:r>
      <w:r>
        <w:rPr>
          <w:rFonts w:hint="eastAsia"/>
          <w:kern w:val="2"/>
        </w:rPr>
        <w:t xml:space="preserve">  </w:t>
      </w:r>
      <w:r>
        <w:drawing>
          <wp:inline distT="0" distB="0" distL="114300" distR="114300">
            <wp:extent cx="2604770" cy="3848735"/>
            <wp:effectExtent l="0" t="0" r="5080" b="1841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7" cstate="print"/>
                    <a:stretch>
                      <a:fillRect/>
                    </a:stretch>
                  </pic:blipFill>
                  <pic:spPr>
                    <a:xfrm>
                      <a:off x="0" y="0"/>
                      <a:ext cx="2604770" cy="3848735"/>
                    </a:xfrm>
                    <a:prstGeom prst="rect">
                      <a:avLst/>
                    </a:prstGeom>
                    <a:noFill/>
                    <a:ln w="9525">
                      <a:noFill/>
                    </a:ln>
                  </pic:spPr>
                </pic:pic>
              </a:graphicData>
            </a:graphic>
          </wp:inline>
        </w:drawing>
      </w:r>
    </w:p>
    <w:p>
      <w:pPr>
        <w:pStyle w:val="36"/>
        <w:ind w:firstLine="482"/>
        <w:jc w:val="left"/>
        <w:rPr>
          <w:b/>
        </w:rPr>
      </w:pPr>
      <w:r>
        <w:rPr>
          <w:b/>
        </w:rPr>
        <w:t>图</w:t>
      </w:r>
      <w:r>
        <w:rPr>
          <w:rFonts w:hint="eastAsia"/>
          <w:b/>
        </w:rPr>
        <w:t>4-</w:t>
      </w:r>
      <w:r>
        <w:rPr>
          <w:b/>
        </w:rPr>
        <w:t xml:space="preserve">4  </w:t>
      </w:r>
      <w:r>
        <w:rPr>
          <w:rFonts w:hint="eastAsia"/>
          <w:b/>
          <w:kern w:val="2"/>
        </w:rPr>
        <w:t xml:space="preserve">③磺酰胺化合物3#的制备       </w:t>
      </w:r>
      <w:r>
        <w:rPr>
          <w:b/>
          <w:kern w:val="2"/>
        </w:rPr>
        <w:t>图</w:t>
      </w:r>
      <w:r>
        <w:rPr>
          <w:rFonts w:hint="eastAsia"/>
          <w:b/>
          <w:kern w:val="2"/>
        </w:rPr>
        <w:t>4-</w:t>
      </w:r>
      <w:r>
        <w:rPr>
          <w:b/>
          <w:kern w:val="2"/>
        </w:rPr>
        <w:t>5</w:t>
      </w:r>
      <w:r>
        <w:rPr>
          <w:rFonts w:hint="eastAsia"/>
          <w:b/>
          <w:kern w:val="2"/>
        </w:rPr>
        <w:t xml:space="preserve"> </w:t>
      </w:r>
      <w:r>
        <w:rPr>
          <w:b/>
          <w:kern w:val="2"/>
        </w:rPr>
        <w:t xml:space="preserve"> </w:t>
      </w:r>
      <w:r>
        <w:rPr>
          <w:rFonts w:hint="eastAsia"/>
          <w:b/>
          <w:kern w:val="2"/>
        </w:rPr>
        <w:t>④氧化产物醛4#的制备</w:t>
      </w:r>
    </w:p>
    <w:p>
      <w:pPr>
        <w:pStyle w:val="36"/>
        <w:ind w:firstLine="0" w:firstLineChars="0"/>
        <w:jc w:val="center"/>
      </w:pPr>
      <w:r>
        <w:drawing>
          <wp:inline distT="0" distB="0" distL="114300" distR="114300">
            <wp:extent cx="2519680" cy="2509520"/>
            <wp:effectExtent l="0" t="0" r="13970" b="508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8" cstate="print"/>
                    <a:stretch>
                      <a:fillRect/>
                    </a:stretch>
                  </pic:blipFill>
                  <pic:spPr>
                    <a:xfrm>
                      <a:off x="0" y="0"/>
                      <a:ext cx="2519680" cy="2509520"/>
                    </a:xfrm>
                    <a:prstGeom prst="rect">
                      <a:avLst/>
                    </a:prstGeom>
                    <a:noFill/>
                    <a:ln w="9525">
                      <a:noFill/>
                    </a:ln>
                  </pic:spPr>
                </pic:pic>
              </a:graphicData>
            </a:graphic>
          </wp:inline>
        </w:drawing>
      </w:r>
    </w:p>
    <w:p>
      <w:pPr>
        <w:pStyle w:val="36"/>
        <w:ind w:firstLine="0" w:firstLineChars="0"/>
        <w:jc w:val="center"/>
        <w:rPr>
          <w:b/>
          <w:kern w:val="2"/>
        </w:rPr>
      </w:pPr>
      <w:r>
        <w:rPr>
          <w:b/>
          <w:kern w:val="2"/>
        </w:rPr>
        <w:t>图</w:t>
      </w:r>
      <w:r>
        <w:rPr>
          <w:rFonts w:hint="eastAsia"/>
          <w:b/>
          <w:kern w:val="2"/>
        </w:rPr>
        <w:t>4-</w:t>
      </w:r>
      <w:r>
        <w:rPr>
          <w:b/>
          <w:kern w:val="2"/>
        </w:rPr>
        <w:t xml:space="preserve">6 </w:t>
      </w:r>
      <w:r>
        <w:rPr>
          <w:rFonts w:hint="eastAsia"/>
          <w:b/>
          <w:kern w:val="2"/>
        </w:rPr>
        <w:t xml:space="preserve"> ⑤缩合产物5#的制备</w:t>
      </w:r>
    </w:p>
    <w:p>
      <w:pPr>
        <w:pStyle w:val="36"/>
        <w:ind w:firstLine="0" w:firstLineChars="0"/>
        <w:jc w:val="left"/>
      </w:pPr>
      <w:r>
        <w:rPr>
          <w:b/>
          <w:kern w:val="2"/>
        </w:rPr>
        <w:br w:type="page"/>
      </w:r>
      <w:r>
        <w:drawing>
          <wp:anchor distT="0" distB="0" distL="114300" distR="114300" simplePos="0" relativeHeight="251658240" behindDoc="0" locked="0" layoutInCell="1" allowOverlap="1">
            <wp:simplePos x="0" y="0"/>
            <wp:positionH relativeFrom="column">
              <wp:posOffset>2994025</wp:posOffset>
            </wp:positionH>
            <wp:positionV relativeFrom="paragraph">
              <wp:posOffset>4244975</wp:posOffset>
            </wp:positionV>
            <wp:extent cx="2454910" cy="2665730"/>
            <wp:effectExtent l="0" t="0" r="2540" b="127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9" cstate="print"/>
                    <a:srcRect l="7321" r="13181"/>
                    <a:stretch>
                      <a:fillRect/>
                    </a:stretch>
                  </pic:blipFill>
                  <pic:spPr>
                    <a:xfrm>
                      <a:off x="0" y="0"/>
                      <a:ext cx="2454910" cy="2665730"/>
                    </a:xfrm>
                    <a:prstGeom prst="rect">
                      <a:avLst/>
                    </a:prstGeom>
                    <a:noFill/>
                    <a:ln w="9525">
                      <a:noFill/>
                    </a:ln>
                  </pic:spPr>
                </pic:pic>
              </a:graphicData>
            </a:graphic>
          </wp:anchor>
        </w:drawing>
      </w:r>
      <w:r>
        <w:drawing>
          <wp:inline distT="0" distB="0" distL="114300" distR="114300">
            <wp:extent cx="2764155" cy="6900545"/>
            <wp:effectExtent l="0" t="0" r="17145" b="1460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0" cstate="print"/>
                    <a:stretch>
                      <a:fillRect/>
                    </a:stretch>
                  </pic:blipFill>
                  <pic:spPr>
                    <a:xfrm>
                      <a:off x="0" y="0"/>
                      <a:ext cx="2764155" cy="6900545"/>
                    </a:xfrm>
                    <a:prstGeom prst="rect">
                      <a:avLst/>
                    </a:prstGeom>
                    <a:noFill/>
                    <a:ln w="9525">
                      <a:noFill/>
                    </a:ln>
                  </pic:spPr>
                </pic:pic>
              </a:graphicData>
            </a:graphic>
          </wp:inline>
        </w:drawing>
      </w:r>
    </w:p>
    <w:p>
      <w:pPr>
        <w:pStyle w:val="36"/>
        <w:ind w:firstLine="354" w:firstLineChars="147"/>
        <w:rPr>
          <w:b/>
          <w:kern w:val="2"/>
        </w:rPr>
      </w:pPr>
      <w:r>
        <w:rPr>
          <w:b/>
          <w:kern w:val="2"/>
        </w:rPr>
        <w:t>图</w:t>
      </w:r>
      <w:r>
        <w:rPr>
          <w:rFonts w:hint="eastAsia"/>
          <w:b/>
          <w:kern w:val="2"/>
        </w:rPr>
        <w:t>4-</w:t>
      </w:r>
      <w:r>
        <w:rPr>
          <w:b/>
          <w:kern w:val="2"/>
        </w:rPr>
        <w:t xml:space="preserve">7 </w:t>
      </w:r>
      <w:r>
        <w:rPr>
          <w:rFonts w:hint="eastAsia"/>
          <w:b/>
          <w:kern w:val="2"/>
        </w:rPr>
        <w:t xml:space="preserve"> ⑥还原产物6#的制备             </w:t>
      </w:r>
      <w:r>
        <w:rPr>
          <w:b/>
          <w:kern w:val="2"/>
        </w:rPr>
        <w:t>图</w:t>
      </w:r>
      <w:r>
        <w:rPr>
          <w:rFonts w:hint="eastAsia"/>
          <w:b/>
          <w:kern w:val="2"/>
        </w:rPr>
        <w:t>4-</w:t>
      </w:r>
      <w:r>
        <w:rPr>
          <w:b/>
          <w:kern w:val="2"/>
        </w:rPr>
        <w:t>8</w:t>
      </w:r>
      <w:r>
        <w:rPr>
          <w:rFonts w:hint="eastAsia"/>
          <w:b/>
          <w:kern w:val="2"/>
        </w:rPr>
        <w:t xml:space="preserve">  ⑦水解产物7#的制备</w:t>
      </w:r>
    </w:p>
    <w:p>
      <w:pPr>
        <w:pStyle w:val="36"/>
        <w:ind w:firstLine="0" w:firstLineChars="0"/>
        <w:jc w:val="center"/>
        <w:rPr>
          <w:b/>
          <w:kern w:val="2"/>
        </w:rPr>
      </w:pPr>
      <w:r>
        <w:rPr>
          <w:b/>
          <w:kern w:val="2"/>
        </w:rPr>
        <w:br w:type="page"/>
      </w:r>
      <w:r>
        <w:drawing>
          <wp:inline distT="0" distB="0" distL="114300" distR="114300">
            <wp:extent cx="2955925" cy="2466975"/>
            <wp:effectExtent l="0" t="0" r="15875"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1" cstate="print"/>
                    <a:stretch>
                      <a:fillRect/>
                    </a:stretch>
                  </pic:blipFill>
                  <pic:spPr>
                    <a:xfrm>
                      <a:off x="0" y="0"/>
                      <a:ext cx="2955925" cy="2466975"/>
                    </a:xfrm>
                    <a:prstGeom prst="rect">
                      <a:avLst/>
                    </a:prstGeom>
                    <a:noFill/>
                    <a:ln w="9525">
                      <a:noFill/>
                    </a:ln>
                  </pic:spPr>
                </pic:pic>
              </a:graphicData>
            </a:graphic>
          </wp:inline>
        </w:drawing>
      </w:r>
    </w:p>
    <w:p>
      <w:pPr>
        <w:pStyle w:val="36"/>
        <w:ind w:firstLine="0" w:firstLineChars="0"/>
        <w:jc w:val="center"/>
        <w:rPr>
          <w:kern w:val="2"/>
          <w:sz w:val="28"/>
          <w:szCs w:val="28"/>
        </w:rPr>
      </w:pPr>
      <w:r>
        <w:rPr>
          <w:b/>
          <w:kern w:val="2"/>
        </w:rPr>
        <w:t>图</w:t>
      </w:r>
      <w:r>
        <w:rPr>
          <w:rFonts w:hint="eastAsia"/>
          <w:b/>
          <w:kern w:val="2"/>
        </w:rPr>
        <w:t>4-</w:t>
      </w:r>
      <w:r>
        <w:rPr>
          <w:b/>
          <w:kern w:val="2"/>
        </w:rPr>
        <w:t>9</w:t>
      </w:r>
      <w:r>
        <w:rPr>
          <w:rFonts w:hint="eastAsia"/>
          <w:b/>
          <w:kern w:val="2"/>
        </w:rPr>
        <w:t xml:space="preserve"> </w:t>
      </w:r>
      <w:r>
        <w:rPr>
          <w:b/>
          <w:kern w:val="2"/>
        </w:rPr>
        <w:t xml:space="preserve"> </w:t>
      </w:r>
      <w:r>
        <w:rPr>
          <w:rFonts w:hint="eastAsia"/>
          <w:b/>
          <w:kern w:val="2"/>
        </w:rPr>
        <w:t>⑧瑞舒伐他汀钙的制备</w:t>
      </w:r>
    </w:p>
    <w:p>
      <w:pPr>
        <w:pStyle w:val="36"/>
        <w:ind w:firstLine="560"/>
        <w:jc w:val="left"/>
        <w:rPr>
          <w:kern w:val="2"/>
          <w:sz w:val="28"/>
          <w:szCs w:val="28"/>
        </w:rPr>
      </w:pPr>
      <w:r>
        <w:rPr>
          <w:rFonts w:hint="eastAsia"/>
          <w:kern w:val="2"/>
          <w:sz w:val="28"/>
          <w:szCs w:val="28"/>
        </w:rPr>
        <w:t>（2）坎地沙坦酯原料药工艺过程大致分四步反应和三步侧链反应：①环合产物1#的制备；②水解产物2#的制备；③上保护产物3#的制备；④坎地沙坦酯的制备；⑤侧链反应一（1-氯乙基甲酰氯的制备）；⑥侧链反应二（1-氯乙基环己基碳酸酯的制备）；⑦侧链反应三（1-碘乙基环己基碳酸酯（侧链碘代物）的制备）。</w:t>
      </w:r>
    </w:p>
    <w:p>
      <w:pPr>
        <w:pStyle w:val="36"/>
        <w:ind w:firstLine="560"/>
        <w:rPr>
          <w:kern w:val="2"/>
          <w:sz w:val="28"/>
          <w:szCs w:val="28"/>
        </w:rPr>
      </w:pPr>
      <w:r>
        <w:rPr>
          <w:kern w:val="2"/>
          <w:sz w:val="28"/>
          <w:szCs w:val="28"/>
        </w:rPr>
        <w:t>具体工艺流程如下</w:t>
      </w:r>
      <w:r>
        <w:rPr>
          <w:rFonts w:hint="eastAsia"/>
          <w:kern w:val="2"/>
          <w:sz w:val="28"/>
          <w:szCs w:val="28"/>
        </w:rPr>
        <w:t>：</w:t>
      </w:r>
    </w:p>
    <w:p>
      <w:pPr>
        <w:pStyle w:val="36"/>
        <w:ind w:firstLine="560"/>
        <w:jc w:val="left"/>
        <w:rPr>
          <w:kern w:val="2"/>
          <w:sz w:val="28"/>
          <w:szCs w:val="28"/>
        </w:rPr>
      </w:pPr>
    </w:p>
    <w:p>
      <w:pPr>
        <w:pStyle w:val="36"/>
        <w:ind w:firstLine="425" w:firstLineChars="152"/>
        <w:rPr>
          <w:sz w:val="28"/>
          <w:szCs w:val="28"/>
        </w:rPr>
      </w:pPr>
      <w:r>
        <w:rPr>
          <w:sz w:val="28"/>
          <w:szCs w:val="28"/>
        </w:rPr>
        <w:br w:type="page"/>
      </w:r>
      <w:r>
        <w:drawing>
          <wp:inline distT="0" distB="0" distL="114300" distR="114300">
            <wp:extent cx="2764155" cy="5699125"/>
            <wp:effectExtent l="0" t="0" r="17145" b="1587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42" cstate="print"/>
                    <a:stretch>
                      <a:fillRect/>
                    </a:stretch>
                  </pic:blipFill>
                  <pic:spPr>
                    <a:xfrm>
                      <a:off x="0" y="0"/>
                      <a:ext cx="2764155" cy="5699125"/>
                    </a:xfrm>
                    <a:prstGeom prst="rect">
                      <a:avLst/>
                    </a:prstGeom>
                    <a:noFill/>
                    <a:ln w="9525">
                      <a:noFill/>
                    </a:ln>
                  </pic:spPr>
                </pic:pic>
              </a:graphicData>
            </a:graphic>
          </wp:inline>
        </w:drawing>
      </w:r>
      <w:r>
        <w:rPr>
          <w:rFonts w:hint="eastAsia"/>
          <w:sz w:val="28"/>
          <w:szCs w:val="28"/>
        </w:rPr>
        <w:t xml:space="preserve"> </w:t>
      </w:r>
      <w:r>
        <w:drawing>
          <wp:inline distT="0" distB="0" distL="114300" distR="114300">
            <wp:extent cx="2265045" cy="3529965"/>
            <wp:effectExtent l="0" t="0" r="1905" b="1333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3" cstate="print"/>
                    <a:stretch>
                      <a:fillRect/>
                    </a:stretch>
                  </pic:blipFill>
                  <pic:spPr>
                    <a:xfrm>
                      <a:off x="0" y="0"/>
                      <a:ext cx="2265045" cy="3529965"/>
                    </a:xfrm>
                    <a:prstGeom prst="rect">
                      <a:avLst/>
                    </a:prstGeom>
                    <a:noFill/>
                    <a:ln w="9525">
                      <a:noFill/>
                    </a:ln>
                  </pic:spPr>
                </pic:pic>
              </a:graphicData>
            </a:graphic>
          </wp:inline>
        </w:drawing>
      </w:r>
    </w:p>
    <w:p>
      <w:pPr>
        <w:pStyle w:val="36"/>
        <w:ind w:firstLine="723" w:firstLineChars="300"/>
        <w:rPr>
          <w:b/>
        </w:rPr>
      </w:pPr>
      <w:r>
        <w:rPr>
          <w:rFonts w:hint="eastAsia"/>
          <w:b/>
        </w:rPr>
        <w:t>图4-</w:t>
      </w:r>
      <w:r>
        <w:rPr>
          <w:b/>
        </w:rPr>
        <w:t>10</w:t>
      </w:r>
      <w:r>
        <w:rPr>
          <w:rFonts w:hint="eastAsia"/>
          <w:b/>
        </w:rPr>
        <w:t xml:space="preserve">  ①环合产物1#的制备          图4-</w:t>
      </w:r>
      <w:r>
        <w:rPr>
          <w:b/>
        </w:rPr>
        <w:t>11</w:t>
      </w:r>
      <w:r>
        <w:rPr>
          <w:rFonts w:hint="eastAsia"/>
          <w:b/>
        </w:rPr>
        <w:t xml:space="preserve">  ②水解产物2#的制备</w:t>
      </w:r>
    </w:p>
    <w:p>
      <w:pPr>
        <w:pStyle w:val="36"/>
        <w:ind w:firstLine="0" w:firstLineChars="0"/>
      </w:pPr>
      <w:r>
        <w:rPr>
          <w:b/>
        </w:rPr>
        <w:br w:type="page"/>
      </w:r>
      <w:r>
        <w:drawing>
          <wp:inline distT="0" distB="0" distL="114300" distR="114300">
            <wp:extent cx="2839085" cy="4561205"/>
            <wp:effectExtent l="0" t="0" r="18415" b="1079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44" cstate="print"/>
                    <a:stretch>
                      <a:fillRect/>
                    </a:stretch>
                  </pic:blipFill>
                  <pic:spPr>
                    <a:xfrm>
                      <a:off x="0" y="0"/>
                      <a:ext cx="2839085" cy="4561205"/>
                    </a:xfrm>
                    <a:prstGeom prst="rect">
                      <a:avLst/>
                    </a:prstGeom>
                    <a:noFill/>
                    <a:ln w="9525">
                      <a:noFill/>
                    </a:ln>
                  </pic:spPr>
                </pic:pic>
              </a:graphicData>
            </a:graphic>
          </wp:inline>
        </w:drawing>
      </w:r>
      <w:r>
        <w:drawing>
          <wp:inline distT="0" distB="0" distL="114300" distR="114300">
            <wp:extent cx="2637155" cy="6082030"/>
            <wp:effectExtent l="0" t="0" r="10795" b="1397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5" cstate="print"/>
                    <a:stretch>
                      <a:fillRect/>
                    </a:stretch>
                  </pic:blipFill>
                  <pic:spPr>
                    <a:xfrm>
                      <a:off x="0" y="0"/>
                      <a:ext cx="2637155" cy="6082030"/>
                    </a:xfrm>
                    <a:prstGeom prst="rect">
                      <a:avLst/>
                    </a:prstGeom>
                    <a:noFill/>
                    <a:ln w="9525">
                      <a:noFill/>
                    </a:ln>
                  </pic:spPr>
                </pic:pic>
              </a:graphicData>
            </a:graphic>
          </wp:inline>
        </w:drawing>
      </w:r>
    </w:p>
    <w:p>
      <w:pPr>
        <w:pStyle w:val="36"/>
        <w:ind w:firstLine="482"/>
        <w:rPr>
          <w:b/>
        </w:rPr>
      </w:pPr>
      <w:r>
        <w:rPr>
          <w:rFonts w:hint="eastAsia"/>
          <w:b/>
        </w:rPr>
        <w:t>图4-</w:t>
      </w:r>
      <w:r>
        <w:rPr>
          <w:b/>
        </w:rPr>
        <w:t xml:space="preserve">12  </w:t>
      </w:r>
      <w:r>
        <w:rPr>
          <w:rFonts w:hint="eastAsia"/>
          <w:b/>
        </w:rPr>
        <w:t>③上保护产物3#的制备        图4-</w:t>
      </w:r>
      <w:r>
        <w:rPr>
          <w:b/>
        </w:rPr>
        <w:t xml:space="preserve">13  </w:t>
      </w:r>
      <w:r>
        <w:rPr>
          <w:rFonts w:hint="eastAsia"/>
          <w:b/>
        </w:rPr>
        <w:t>④坎地沙坦酯的制备</w:t>
      </w:r>
    </w:p>
    <w:p>
      <w:pPr>
        <w:pStyle w:val="36"/>
        <w:spacing w:line="240" w:lineRule="auto"/>
        <w:ind w:firstLine="240" w:firstLineChars="100"/>
      </w:pPr>
      <w:r>
        <w:drawing>
          <wp:inline distT="0" distB="0" distL="114300" distR="114300">
            <wp:extent cx="2179955" cy="2179955"/>
            <wp:effectExtent l="0" t="0" r="10795" b="1079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46" cstate="print"/>
                    <a:stretch>
                      <a:fillRect/>
                    </a:stretch>
                  </pic:blipFill>
                  <pic:spPr>
                    <a:xfrm>
                      <a:off x="0" y="0"/>
                      <a:ext cx="2179955" cy="2179955"/>
                    </a:xfrm>
                    <a:prstGeom prst="rect">
                      <a:avLst/>
                    </a:prstGeom>
                    <a:noFill/>
                    <a:ln w="9525">
                      <a:noFill/>
                    </a:ln>
                  </pic:spPr>
                </pic:pic>
              </a:graphicData>
            </a:graphic>
          </wp:inline>
        </w:drawing>
      </w:r>
      <w:r>
        <w:rPr>
          <w:rFonts w:hint="eastAsia"/>
        </w:rPr>
        <w:t xml:space="preserve"> </w:t>
      </w:r>
      <w:r>
        <w:drawing>
          <wp:inline distT="0" distB="0" distL="114300" distR="114300">
            <wp:extent cx="2966720" cy="3498215"/>
            <wp:effectExtent l="0" t="0" r="5080" b="698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47" cstate="print"/>
                    <a:stretch>
                      <a:fillRect/>
                    </a:stretch>
                  </pic:blipFill>
                  <pic:spPr>
                    <a:xfrm>
                      <a:off x="0" y="0"/>
                      <a:ext cx="2966720" cy="3498215"/>
                    </a:xfrm>
                    <a:prstGeom prst="rect">
                      <a:avLst/>
                    </a:prstGeom>
                    <a:noFill/>
                    <a:ln w="9525">
                      <a:noFill/>
                    </a:ln>
                  </pic:spPr>
                </pic:pic>
              </a:graphicData>
            </a:graphic>
          </wp:inline>
        </w:drawing>
      </w:r>
    </w:p>
    <w:p>
      <w:pPr>
        <w:pStyle w:val="36"/>
        <w:ind w:firstLine="241" w:firstLineChars="100"/>
        <w:rPr>
          <w:b/>
        </w:rPr>
      </w:pPr>
      <w:r>
        <w:rPr>
          <w:rFonts w:hint="eastAsia"/>
          <w:b/>
        </w:rPr>
        <w:t>图4-</w:t>
      </w:r>
      <w:r>
        <w:rPr>
          <w:b/>
        </w:rPr>
        <w:t xml:space="preserve">14  </w:t>
      </w:r>
      <w:r>
        <w:rPr>
          <w:rFonts w:hint="eastAsia"/>
          <w:b/>
        </w:rPr>
        <w:t>⑤1-氯乙基甲酰氯的制备 图4-</w:t>
      </w:r>
      <w:r>
        <w:rPr>
          <w:b/>
        </w:rPr>
        <w:t xml:space="preserve">15  </w:t>
      </w:r>
      <w:r>
        <w:rPr>
          <w:rFonts w:hint="eastAsia" w:ascii="宋体" w:hAnsi="宋体" w:cs="宋体"/>
          <w:b/>
        </w:rPr>
        <w:t>⑥</w:t>
      </w:r>
      <w:r>
        <w:rPr>
          <w:rFonts w:hint="eastAsia"/>
          <w:b/>
        </w:rPr>
        <w:t>1-氯乙基环己基碳酸酯的制备</w:t>
      </w:r>
    </w:p>
    <w:p>
      <w:pPr>
        <w:pStyle w:val="36"/>
        <w:ind w:firstLine="0" w:firstLineChars="0"/>
        <w:jc w:val="center"/>
      </w:pPr>
      <w:r>
        <w:drawing>
          <wp:inline distT="0" distB="0" distL="114300" distR="114300">
            <wp:extent cx="3136900" cy="3753485"/>
            <wp:effectExtent l="0" t="0" r="6350" b="1841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48" cstate="print"/>
                    <a:stretch>
                      <a:fillRect/>
                    </a:stretch>
                  </pic:blipFill>
                  <pic:spPr>
                    <a:xfrm>
                      <a:off x="0" y="0"/>
                      <a:ext cx="3136900" cy="3753485"/>
                    </a:xfrm>
                    <a:prstGeom prst="rect">
                      <a:avLst/>
                    </a:prstGeom>
                    <a:noFill/>
                    <a:ln w="9525">
                      <a:noFill/>
                    </a:ln>
                  </pic:spPr>
                </pic:pic>
              </a:graphicData>
            </a:graphic>
          </wp:inline>
        </w:drawing>
      </w:r>
    </w:p>
    <w:p>
      <w:pPr>
        <w:pStyle w:val="36"/>
        <w:ind w:firstLine="0" w:firstLineChars="0"/>
        <w:jc w:val="center"/>
        <w:rPr>
          <w:b/>
        </w:rPr>
      </w:pPr>
      <w:r>
        <w:rPr>
          <w:rFonts w:hint="eastAsia"/>
          <w:b/>
        </w:rPr>
        <w:t>图4-</w:t>
      </w:r>
      <w:r>
        <w:rPr>
          <w:b/>
        </w:rPr>
        <w:t xml:space="preserve">16 </w:t>
      </w:r>
      <w:r>
        <w:rPr>
          <w:rFonts w:hint="eastAsia"/>
          <w:b/>
        </w:rPr>
        <w:t xml:space="preserve"> ⑦侧链反应三（1-碘乙基环己基碳酸酯（侧链碘代物）的制备）</w:t>
      </w:r>
    </w:p>
    <w:p>
      <w:pPr>
        <w:pStyle w:val="36"/>
        <w:adjustRightInd w:val="0"/>
        <w:snapToGrid w:val="0"/>
        <w:ind w:firstLine="562"/>
        <w:rPr>
          <w:b/>
          <w:sz w:val="28"/>
          <w:szCs w:val="28"/>
        </w:rPr>
      </w:pPr>
      <w:r>
        <w:rPr>
          <w:b/>
          <w:sz w:val="28"/>
          <w:szCs w:val="28"/>
        </w:rPr>
        <w:br w:type="page"/>
      </w:r>
      <w:r>
        <w:rPr>
          <w:rFonts w:hint="eastAsia"/>
          <w:b/>
          <w:sz w:val="28"/>
          <w:szCs w:val="28"/>
        </w:rPr>
        <w:t>5、“三废”产生治理情况</w:t>
      </w:r>
    </w:p>
    <w:p>
      <w:pPr>
        <w:pStyle w:val="36"/>
        <w:adjustRightInd w:val="0"/>
        <w:snapToGrid w:val="0"/>
        <w:ind w:firstLine="560"/>
        <w:rPr>
          <w:sz w:val="28"/>
          <w:szCs w:val="28"/>
        </w:rPr>
      </w:pPr>
      <w:r>
        <w:rPr>
          <w:rFonts w:hint="eastAsia"/>
          <w:sz w:val="28"/>
          <w:szCs w:val="28"/>
        </w:rPr>
        <w:t>根据业主提供资料，宏昇药业“三废”产生及治理情况分析如下。</w:t>
      </w:r>
    </w:p>
    <w:p>
      <w:pPr>
        <w:pStyle w:val="36"/>
        <w:adjustRightInd w:val="0"/>
        <w:snapToGrid w:val="0"/>
        <w:ind w:firstLine="560"/>
        <w:rPr>
          <w:sz w:val="28"/>
          <w:szCs w:val="28"/>
        </w:rPr>
      </w:pPr>
      <w:r>
        <w:rPr>
          <w:rFonts w:hint="eastAsia"/>
          <w:sz w:val="28"/>
          <w:szCs w:val="28"/>
        </w:rPr>
        <w:t>1）主要废气污染工序及治理措施</w:t>
      </w:r>
    </w:p>
    <w:p>
      <w:pPr>
        <w:pStyle w:val="36"/>
        <w:adjustRightInd w:val="0"/>
        <w:snapToGrid w:val="0"/>
        <w:ind w:firstLine="560"/>
        <w:rPr>
          <w:sz w:val="28"/>
          <w:szCs w:val="28"/>
        </w:rPr>
      </w:pPr>
      <w:r>
        <w:rPr>
          <w:rFonts w:hint="eastAsia"/>
          <w:sz w:val="28"/>
          <w:szCs w:val="28"/>
        </w:rPr>
        <w:t>本项目生产过程中产生的废气主要是锅炉废气和工艺废气。锅炉使用清洁能源天然气做燃料。</w:t>
      </w:r>
    </w:p>
    <w:p>
      <w:pPr>
        <w:pStyle w:val="36"/>
        <w:adjustRightInd w:val="0"/>
        <w:snapToGrid w:val="0"/>
        <w:ind w:firstLine="562"/>
        <w:rPr>
          <w:b/>
          <w:sz w:val="28"/>
          <w:szCs w:val="28"/>
        </w:rPr>
      </w:pPr>
      <w:r>
        <w:rPr>
          <w:rFonts w:hint="eastAsia"/>
          <w:b/>
          <w:sz w:val="28"/>
          <w:szCs w:val="28"/>
        </w:rPr>
        <w:t>工艺废气：</w:t>
      </w:r>
    </w:p>
    <w:p>
      <w:pPr>
        <w:pStyle w:val="36"/>
        <w:adjustRightInd w:val="0"/>
        <w:snapToGrid w:val="0"/>
        <w:ind w:firstLine="560"/>
        <w:rPr>
          <w:sz w:val="28"/>
          <w:szCs w:val="28"/>
        </w:rPr>
      </w:pPr>
      <w:r>
        <w:rPr>
          <w:rFonts w:hint="eastAsia"/>
          <w:sz w:val="28"/>
          <w:szCs w:val="28"/>
        </w:rPr>
        <w:t>在非洁净车间生产各工序均会有废气产生，有组织排放气体主要包括反应罐反应时产生的气休、配置盐酸溶液产生的挥发性气体、蒸馏冷凝回收工序产生的尾气，无组织排放气体主要是溶媒使用、回收过程中产生的挥发性废气、粉碎和批量混合工序产生的粉尘。</w:t>
      </w:r>
    </w:p>
    <w:p>
      <w:pPr>
        <w:pStyle w:val="36"/>
        <w:adjustRightInd w:val="0"/>
        <w:snapToGrid w:val="0"/>
        <w:ind w:firstLine="560"/>
        <w:rPr>
          <w:sz w:val="28"/>
          <w:szCs w:val="28"/>
        </w:rPr>
      </w:pPr>
      <w:r>
        <w:rPr>
          <w:rFonts w:hint="eastAsia"/>
          <w:sz w:val="28"/>
          <w:szCs w:val="28"/>
        </w:rPr>
        <w:t>①无组织排放废气</w:t>
      </w:r>
    </w:p>
    <w:p>
      <w:pPr>
        <w:pStyle w:val="36"/>
        <w:adjustRightInd w:val="0"/>
        <w:snapToGrid w:val="0"/>
        <w:ind w:firstLine="560"/>
        <w:rPr>
          <w:sz w:val="28"/>
          <w:szCs w:val="28"/>
        </w:rPr>
      </w:pPr>
      <w:r>
        <w:rPr>
          <w:rFonts w:hint="eastAsia"/>
          <w:sz w:val="28"/>
          <w:szCs w:val="28"/>
        </w:rPr>
        <w:t>由于本项目生产工艺较为复杂，生产过程巾使用的溶媒较多，在坎地沙坦国旨原料药生产中涉及的溶媒包括甲醇、氯仿、乙醇、乙酸乙酯、二氯甲烷，在瑞舒伐他汀钙原料药生产中涉及的溶媒包括苯、乙醚、氯仿、乙醇、二氯甲烷、乙腈、甲醇，均为有机挥发性液体。</w:t>
      </w:r>
    </w:p>
    <w:p>
      <w:pPr>
        <w:pStyle w:val="36"/>
        <w:adjustRightInd w:val="0"/>
        <w:snapToGrid w:val="0"/>
        <w:ind w:firstLine="560"/>
        <w:rPr>
          <w:sz w:val="28"/>
          <w:szCs w:val="28"/>
        </w:rPr>
      </w:pPr>
      <w:r>
        <w:rPr>
          <w:rFonts w:hint="eastAsia"/>
          <w:sz w:val="28"/>
          <w:szCs w:val="28"/>
        </w:rPr>
        <w:t>②有组织排放废气</w:t>
      </w:r>
    </w:p>
    <w:p>
      <w:pPr>
        <w:pStyle w:val="36"/>
        <w:adjustRightInd w:val="0"/>
        <w:snapToGrid w:val="0"/>
        <w:ind w:firstLine="560"/>
        <w:rPr>
          <w:sz w:val="28"/>
          <w:szCs w:val="28"/>
        </w:rPr>
      </w:pPr>
      <w:r>
        <w:rPr>
          <w:rFonts w:hint="eastAsia"/>
          <w:sz w:val="28"/>
          <w:szCs w:val="28"/>
        </w:rPr>
        <w:t>反应废气主要产生于瑞舒伐他汀钙生产的磺酰胺化合物制备过程中，以及坎地沙坦酯侧链反应一中磺酰反应将产生含HCl、S</w:t>
      </w:r>
      <w:r>
        <w:rPr>
          <w:sz w:val="28"/>
          <w:szCs w:val="28"/>
        </w:rPr>
        <w:t>O</w:t>
      </w:r>
      <w:r>
        <w:rPr>
          <w:rFonts w:hint="eastAsia"/>
          <w:sz w:val="28"/>
          <w:szCs w:val="28"/>
          <w:vertAlign w:val="subscript"/>
        </w:rPr>
        <w:t>2</w:t>
      </w:r>
      <w:r>
        <w:rPr>
          <w:rFonts w:hint="eastAsia"/>
          <w:sz w:val="28"/>
          <w:szCs w:val="28"/>
        </w:rPr>
        <w:t>的酰化废气。</w:t>
      </w:r>
    </w:p>
    <w:p>
      <w:pPr>
        <w:adjustRightInd w:val="0"/>
        <w:snapToGrid w:val="0"/>
        <w:spacing w:line="360" w:lineRule="auto"/>
        <w:ind w:firstLine="560" w:firstLineChars="200"/>
        <w:rPr>
          <w:sz w:val="28"/>
          <w:szCs w:val="28"/>
        </w:rPr>
      </w:pPr>
      <w:r>
        <w:rPr>
          <w:rFonts w:hint="eastAsia"/>
          <w:sz w:val="28"/>
          <w:szCs w:val="28"/>
        </w:rPr>
        <w:t>工艺废气包括有组织排放气体：反应罐反应时产生的气休、配置盐酸溶液产生的挥发性气体、蒸馏冷凝回收工序产生的尾气；无组织排放气体：溶媒使用、回收过程中产生的挥发性废气、粉碎和批量混合工序产生的粉尘。针对上述废气，采取密闭和强制通风、安装有精馏塔提高溶媒回收率、在收集车间废气经“碱洗+水洗+活性炭吸附”等VOCs系统进行处理。</w:t>
      </w:r>
    </w:p>
    <w:p>
      <w:pPr>
        <w:pStyle w:val="36"/>
        <w:adjustRightInd w:val="0"/>
        <w:snapToGrid w:val="0"/>
        <w:ind w:firstLine="560"/>
        <w:rPr>
          <w:sz w:val="28"/>
          <w:szCs w:val="28"/>
        </w:rPr>
      </w:pPr>
      <w:r>
        <w:rPr>
          <w:rFonts w:hint="eastAsia"/>
          <w:sz w:val="28"/>
          <w:szCs w:val="28"/>
        </w:rPr>
        <w:t>2、主要废水污染工序及治理措施</w:t>
      </w:r>
    </w:p>
    <w:p>
      <w:pPr>
        <w:pStyle w:val="36"/>
        <w:adjustRightInd w:val="0"/>
        <w:snapToGrid w:val="0"/>
        <w:ind w:firstLine="560"/>
        <w:rPr>
          <w:sz w:val="28"/>
          <w:szCs w:val="28"/>
        </w:rPr>
      </w:pPr>
      <w:r>
        <w:rPr>
          <w:rFonts w:hint="eastAsia"/>
          <w:sz w:val="28"/>
          <w:szCs w:val="28"/>
        </w:rPr>
        <w:t>本项目废水包括生产废水和生活污水，其中，生产废水包括工艺废水（过滤、提取、洗涤等工序产生的污水、洗罐水、碱洗废水、釜底液）、车间冲洗水、质监中心实验废水、纯水制备系统产生的废水。</w:t>
      </w:r>
    </w:p>
    <w:p>
      <w:pPr>
        <w:adjustRightInd w:val="0"/>
        <w:snapToGrid w:val="0"/>
        <w:spacing w:line="360" w:lineRule="auto"/>
        <w:ind w:firstLine="560" w:firstLineChars="200"/>
        <w:rPr>
          <w:sz w:val="28"/>
          <w:szCs w:val="28"/>
        </w:rPr>
      </w:pPr>
      <w:r>
        <w:rPr>
          <w:rFonts w:hint="eastAsia"/>
          <w:sz w:val="28"/>
          <w:szCs w:val="28"/>
        </w:rPr>
        <w:t>本项目生产工段中部分洗涤工艺产生的工艺废水通过沉淀、蒸馏等措施分离出杂质后，循环使用，直至水液中杂质过高不宜使用时排放。因此本项目外排废水主要是工艺废水、车间冲洗水、实验废水、浓水以及生活污水。生活废水和生产废水全部进入自建污水处理站处理后进入城市综合污水管网，污水处理站采用“隔油+调节+微电解+气浮+二级生化+CASS污泥法”处理工艺。</w:t>
      </w:r>
    </w:p>
    <w:p>
      <w:pPr>
        <w:pStyle w:val="36"/>
        <w:adjustRightInd w:val="0"/>
        <w:snapToGrid w:val="0"/>
        <w:ind w:firstLine="560"/>
        <w:rPr>
          <w:sz w:val="28"/>
          <w:szCs w:val="28"/>
        </w:rPr>
      </w:pPr>
      <w:r>
        <w:rPr>
          <w:rFonts w:hint="eastAsia"/>
          <w:sz w:val="28"/>
          <w:szCs w:val="28"/>
        </w:rPr>
        <w:t>3、固体废弃物</w:t>
      </w:r>
    </w:p>
    <w:p>
      <w:pPr>
        <w:adjustRightInd w:val="0"/>
        <w:snapToGrid w:val="0"/>
        <w:spacing w:line="360" w:lineRule="auto"/>
        <w:ind w:firstLine="560" w:firstLineChars="200"/>
        <w:rPr>
          <w:sz w:val="28"/>
          <w:szCs w:val="28"/>
        </w:rPr>
      </w:pPr>
      <w:bookmarkStart w:id="34" w:name="_Toc523141294"/>
      <w:r>
        <w:rPr>
          <w:rFonts w:hint="eastAsia"/>
          <w:sz w:val="28"/>
          <w:szCs w:val="28"/>
        </w:rPr>
        <w:t>本项目的固体废弃物主要有：生产蒸馏产生的釜底蒸馏残渣、水洗残渣等生产废渣，污水站水处理产生的污泥，废包装材料，废活性炭以及员工生活垃圾。其中，属于危险废物的有活性炭、硫酸钠、蒸馏残渣、污泥。危险废物暂存后交由有资质的单位处置。</w:t>
      </w:r>
    </w:p>
    <w:bookmarkEnd w:id="34"/>
    <w:p>
      <w:pPr>
        <w:adjustRightInd w:val="0"/>
        <w:snapToGrid w:val="0"/>
        <w:spacing w:beforeLines="50" w:line="360" w:lineRule="auto"/>
        <w:rPr>
          <w:spacing w:val="-5"/>
          <w:sz w:val="28"/>
          <w:szCs w:val="28"/>
        </w:rPr>
      </w:pPr>
      <w:bookmarkStart w:id="35" w:name="_Toc523141296"/>
      <w:r>
        <w:rPr>
          <w:rFonts w:cs="Calibri"/>
          <w:b/>
          <w:sz w:val="28"/>
          <w:szCs w:val="28"/>
        </w:rPr>
        <w:br w:type="page"/>
      </w:r>
      <w:bookmarkEnd w:id="35"/>
    </w:p>
    <w:p>
      <w:pPr>
        <w:pStyle w:val="2"/>
        <w:rPr>
          <w:color w:val="auto"/>
        </w:rPr>
      </w:pPr>
      <w:bookmarkStart w:id="36" w:name="_Toc532386763"/>
      <w:r>
        <w:rPr>
          <w:rFonts w:hint="eastAsia"/>
          <w:color w:val="auto"/>
        </w:rPr>
        <w:t>5、</w:t>
      </w:r>
      <w:r>
        <w:rPr>
          <w:color w:val="auto"/>
        </w:rPr>
        <w:t>重点区域及设施识别</w:t>
      </w:r>
      <w:bookmarkEnd w:id="36"/>
    </w:p>
    <w:p>
      <w:pPr>
        <w:adjustRightInd w:val="0"/>
        <w:snapToGrid w:val="0"/>
        <w:spacing w:line="360" w:lineRule="auto"/>
        <w:ind w:firstLine="480"/>
        <w:rPr>
          <w:sz w:val="28"/>
          <w:szCs w:val="28"/>
        </w:rPr>
      </w:pPr>
      <w:r>
        <w:rPr>
          <w:rFonts w:ascii="宋体" w:hAnsi="宋体"/>
          <w:sz w:val="28"/>
          <w:szCs w:val="28"/>
        </w:rPr>
        <w:t>“三废”</w:t>
      </w:r>
      <w:r>
        <w:rPr>
          <w:sz w:val="28"/>
          <w:szCs w:val="28"/>
        </w:rPr>
        <w:t>处理区的污染需要重点关注，主要包括废气和残液处理工序，工业废料处理工序以及转运站、污水处理站等。污水处理站中的废水处理池虽然做了防腐防渗处理，由于长期储存高浓度的污染物废水，也极有可能渗入地下污染土壤和地下水。</w:t>
      </w:r>
    </w:p>
    <w:p>
      <w:pPr>
        <w:adjustRightInd w:val="0"/>
        <w:snapToGrid w:val="0"/>
        <w:spacing w:line="360" w:lineRule="auto"/>
        <w:ind w:firstLine="480"/>
        <w:rPr>
          <w:sz w:val="28"/>
          <w:szCs w:val="28"/>
        </w:rPr>
        <w:sectPr>
          <w:headerReference r:id="rId12" w:type="first"/>
          <w:footerReference r:id="rId14" w:type="first"/>
          <w:headerReference r:id="rId11" w:type="default"/>
          <w:footerReference r:id="rId13" w:type="default"/>
          <w:pgSz w:w="11906" w:h="16838"/>
          <w:pgMar w:top="1276" w:right="1474" w:bottom="1440" w:left="1588" w:header="851" w:footer="992" w:gutter="0"/>
          <w:pgNumType w:start="1"/>
          <w:cols w:space="720" w:num="1"/>
          <w:titlePg/>
          <w:docGrid w:type="lines" w:linePitch="312" w:charSpace="0"/>
        </w:sectPr>
      </w:pPr>
      <w:r>
        <w:rPr>
          <w:rFonts w:hint="eastAsia"/>
          <w:sz w:val="28"/>
          <w:szCs w:val="28"/>
        </w:rPr>
        <w:t>对前期调查过程和结果进行分析、总结和评价。根据各区域及设施信息、特征污染物类型、污染物进入土壤和地下水的途径等，识别企业内部存在土壤及地下水污染隐患的区域及设施，记录重点区域及设施相关信息。信息记录表如下。</w:t>
      </w:r>
    </w:p>
    <w:p>
      <w:pPr>
        <w:adjustRightInd w:val="0"/>
        <w:snapToGrid w:val="0"/>
        <w:jc w:val="center"/>
        <w:rPr>
          <w:b/>
          <w:sz w:val="24"/>
        </w:rPr>
      </w:pPr>
      <w:r>
        <w:rPr>
          <w:rFonts w:hAnsi="宋体"/>
          <w:b/>
          <w:sz w:val="24"/>
        </w:rPr>
        <w:t>表</w:t>
      </w:r>
      <w:r>
        <w:rPr>
          <w:rFonts w:hint="eastAsia"/>
          <w:b/>
          <w:sz w:val="24"/>
        </w:rPr>
        <w:t>5</w:t>
      </w:r>
      <w:r>
        <w:rPr>
          <w:b/>
          <w:sz w:val="24"/>
        </w:rPr>
        <w:t xml:space="preserve">-1  </w:t>
      </w:r>
      <w:r>
        <w:rPr>
          <w:rFonts w:hAnsi="宋体"/>
          <w:b/>
          <w:sz w:val="24"/>
        </w:rPr>
        <w:t>重点区域及设施信息记录表</w:t>
      </w:r>
    </w:p>
    <w:tbl>
      <w:tblPr>
        <w:tblStyle w:val="19"/>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8"/>
        <w:gridCol w:w="1151"/>
        <w:gridCol w:w="3889"/>
        <w:gridCol w:w="3600"/>
        <w:gridCol w:w="3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2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企业名称</w:t>
            </w:r>
          </w:p>
        </w:tc>
        <w:tc>
          <w:tcPr>
            <w:tcW w:w="12016"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峨眉山宏昇药业股份有限公司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调查日期</w:t>
            </w:r>
          </w:p>
        </w:tc>
        <w:tc>
          <w:tcPr>
            <w:tcW w:w="11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p>
        </w:tc>
        <w:tc>
          <w:tcPr>
            <w:tcW w:w="38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参与人员</w:t>
            </w:r>
          </w:p>
        </w:tc>
        <w:tc>
          <w:tcPr>
            <w:tcW w:w="6976"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重点区域或设施名称</w:t>
            </w:r>
          </w:p>
        </w:tc>
        <w:tc>
          <w:tcPr>
            <w:tcW w:w="11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点位编号</w:t>
            </w:r>
          </w:p>
        </w:tc>
        <w:tc>
          <w:tcPr>
            <w:tcW w:w="38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区域或设施功能</w:t>
            </w:r>
          </w:p>
        </w:tc>
        <w:tc>
          <w:tcPr>
            <w:tcW w:w="36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涉及有毒有害物质清单</w:t>
            </w:r>
          </w:p>
        </w:tc>
        <w:tc>
          <w:tcPr>
            <w:tcW w:w="33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Ansi="宋体"/>
                <w:sz w:val="24"/>
              </w:rPr>
              <w:t>特征污染物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80" w:hRule="atLeast"/>
        </w:trPr>
        <w:tc>
          <w:tcPr>
            <w:tcW w:w="2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int="eastAsia" w:hAnsi="宋体"/>
                <w:sz w:val="24"/>
              </w:rPr>
              <w:t>原料药</w:t>
            </w:r>
            <w:r>
              <w:rPr>
                <w:rFonts w:hAnsi="宋体"/>
                <w:sz w:val="24"/>
              </w:rPr>
              <w:t>车间</w:t>
            </w:r>
            <w:r>
              <w:rPr>
                <w:rFonts w:hint="eastAsia" w:hAnsi="宋体"/>
                <w:sz w:val="24"/>
              </w:rPr>
              <w:t>（六车间）</w:t>
            </w:r>
          </w:p>
        </w:tc>
        <w:tc>
          <w:tcPr>
            <w:tcW w:w="11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sz w:val="24"/>
              </w:rPr>
              <w:t>1#</w:t>
            </w:r>
          </w:p>
        </w:tc>
        <w:tc>
          <w:tcPr>
            <w:tcW w:w="38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int="eastAsia"/>
                <w:sz w:val="24"/>
              </w:rPr>
              <w:t>2条生产线，主要生产设备包括反应罐、过滤器、浓缩器、回流冷凝器、</w:t>
            </w:r>
            <w:r>
              <w:rPr>
                <w:sz w:val="24"/>
              </w:rPr>
              <w:t>滤</w:t>
            </w:r>
            <w:r>
              <w:rPr>
                <w:rFonts w:hint="eastAsia"/>
                <w:sz w:val="24"/>
              </w:rPr>
              <w:t>液储罐；回收溶剂储罐、提取洗涤罐、层析柱、液氮冷阱反应器</w:t>
            </w:r>
          </w:p>
        </w:tc>
        <w:tc>
          <w:tcPr>
            <w:tcW w:w="3600"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left"/>
              <w:rPr>
                <w:sz w:val="24"/>
              </w:rPr>
            </w:pPr>
            <w:r>
              <w:rPr>
                <w:rFonts w:hint="eastAsia"/>
                <w:sz w:val="24"/>
              </w:rPr>
              <w:t>苯、乙醚、乙醇、乙酸乙酯、一甲胺、甲醇、甲苯、氟化氢、二氯甲烷等</w:t>
            </w:r>
          </w:p>
        </w:tc>
        <w:tc>
          <w:tcPr>
            <w:tcW w:w="33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sz w:val="24"/>
              </w:rPr>
              <w:t>OH</w:t>
            </w:r>
            <w:r>
              <w:rPr>
                <w:rFonts w:hint="eastAsia"/>
                <w:sz w:val="24"/>
                <w:vertAlign w:val="superscript"/>
              </w:rPr>
              <w:t>-</w:t>
            </w:r>
            <w:r>
              <w:rPr>
                <w:rFonts w:hAnsi="宋体"/>
                <w:sz w:val="24"/>
              </w:rPr>
              <w:t>、重金属</w:t>
            </w:r>
            <w:r>
              <w:rPr>
                <w:rFonts w:hint="eastAsia" w:hAnsi="宋体"/>
                <w:sz w:val="24"/>
              </w:rPr>
              <w:t>、</w:t>
            </w:r>
            <w:r>
              <w:rPr>
                <w:rFonts w:hAnsi="宋体"/>
                <w:sz w:val="24"/>
              </w:rPr>
              <w:t>氟化物</w:t>
            </w:r>
            <w:r>
              <w:rPr>
                <w:rFonts w:hint="eastAsia" w:hAnsi="宋体"/>
                <w:sz w:val="24"/>
              </w:rPr>
              <w:t>、有机物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68" w:hRule="atLeast"/>
        </w:trPr>
        <w:tc>
          <w:tcPr>
            <w:tcW w:w="2158"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rFonts w:hAnsi="宋体"/>
                <w:sz w:val="24"/>
              </w:rPr>
            </w:pPr>
            <w:r>
              <w:rPr>
                <w:rFonts w:hint="eastAsia" w:hAnsi="宋体"/>
                <w:sz w:val="24"/>
              </w:rPr>
              <w:t>医药</w:t>
            </w:r>
            <w:r>
              <w:rPr>
                <w:rFonts w:hAnsi="宋体"/>
                <w:sz w:val="24"/>
              </w:rPr>
              <w:t>中间体车间</w:t>
            </w:r>
          </w:p>
          <w:p>
            <w:pPr>
              <w:autoSpaceDE w:val="0"/>
              <w:autoSpaceDN w:val="0"/>
              <w:adjustRightInd w:val="0"/>
              <w:snapToGrid w:val="0"/>
              <w:jc w:val="center"/>
              <w:rPr>
                <w:sz w:val="24"/>
              </w:rPr>
            </w:pPr>
            <w:r>
              <w:rPr>
                <w:rFonts w:hint="eastAsia" w:hAnsi="宋体"/>
                <w:sz w:val="24"/>
              </w:rPr>
              <w:t>（一、二、三、七车间）</w:t>
            </w:r>
          </w:p>
        </w:tc>
        <w:tc>
          <w:tcPr>
            <w:tcW w:w="1151"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2#</w:t>
            </w:r>
          </w:p>
        </w:tc>
        <w:tc>
          <w:tcPr>
            <w:tcW w:w="3889"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1</w:t>
            </w:r>
            <w:r>
              <w:rPr>
                <w:rFonts w:hint="eastAsia"/>
                <w:sz w:val="24"/>
              </w:rPr>
              <w:t>条生产线，用于瑞舒伐他汀钙和坎地沙坦酯原料药的前段生产，主要生产设备包括反应罐、过滤器、浓缩器、回流冷凝器、滤液储罐、回收浴剂储罐、提取洗涤罐、层析柱、液氮冷阱反应器</w:t>
            </w:r>
          </w:p>
        </w:tc>
        <w:tc>
          <w:tcPr>
            <w:tcW w:w="3600"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left"/>
              <w:rPr>
                <w:sz w:val="24"/>
              </w:rPr>
            </w:pPr>
            <w:r>
              <w:rPr>
                <w:rFonts w:hint="eastAsia"/>
                <w:sz w:val="24"/>
              </w:rPr>
              <w:t>苯、乙醚、乙醇、乙酸乙酯、一甲胺、甲醇、甲苯、氟化氢、二氯甲烷</w:t>
            </w:r>
          </w:p>
        </w:tc>
        <w:tc>
          <w:tcPr>
            <w:tcW w:w="3376"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OH</w:t>
            </w:r>
            <w:r>
              <w:rPr>
                <w:rFonts w:hint="eastAsia"/>
                <w:sz w:val="24"/>
                <w:vertAlign w:val="superscript"/>
              </w:rPr>
              <w:t>-</w:t>
            </w:r>
            <w:r>
              <w:rPr>
                <w:rFonts w:hAnsi="宋体"/>
                <w:sz w:val="24"/>
              </w:rPr>
              <w:t>、重金属</w:t>
            </w:r>
            <w:r>
              <w:rPr>
                <w:rFonts w:hint="eastAsia" w:hAnsi="宋体"/>
                <w:sz w:val="24"/>
              </w:rPr>
              <w:t>、</w:t>
            </w:r>
            <w:r>
              <w:rPr>
                <w:rFonts w:hAnsi="宋体"/>
                <w:sz w:val="24"/>
              </w:rPr>
              <w:t>氟化物</w:t>
            </w:r>
            <w:r>
              <w:rPr>
                <w:rFonts w:hint="eastAsia" w:hAnsi="宋体"/>
                <w:sz w:val="24"/>
              </w:rPr>
              <w:t>、二氯甲烷、有机物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4" w:hRule="atLeast"/>
        </w:trPr>
        <w:tc>
          <w:tcPr>
            <w:tcW w:w="21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int="eastAsia" w:hAnsi="宋体"/>
                <w:sz w:val="24"/>
              </w:rPr>
              <w:t>原料</w:t>
            </w:r>
            <w:r>
              <w:rPr>
                <w:rFonts w:hAnsi="宋体"/>
                <w:sz w:val="24"/>
              </w:rPr>
              <w:t>库房</w:t>
            </w:r>
          </w:p>
        </w:tc>
        <w:tc>
          <w:tcPr>
            <w:tcW w:w="115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sz w:val="24"/>
              </w:rPr>
              <w:t>3#</w:t>
            </w:r>
          </w:p>
        </w:tc>
        <w:tc>
          <w:tcPr>
            <w:tcW w:w="38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rFonts w:hint="eastAsia"/>
                <w:sz w:val="24"/>
              </w:rPr>
              <w:t>用于贮存生产所需原料</w:t>
            </w:r>
          </w:p>
        </w:tc>
        <w:tc>
          <w:tcPr>
            <w:tcW w:w="3600"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left"/>
              <w:rPr>
                <w:sz w:val="24"/>
              </w:rPr>
            </w:pPr>
            <w:r>
              <w:rPr>
                <w:rFonts w:hint="eastAsia"/>
                <w:sz w:val="24"/>
              </w:rPr>
              <w:t>苯、乙醚、乙醇、乙酸乙酯、一甲胺、甲醇、甲苯、氟化氢、二氯甲烷</w:t>
            </w:r>
          </w:p>
        </w:tc>
        <w:tc>
          <w:tcPr>
            <w:tcW w:w="33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sz w:val="24"/>
              </w:rPr>
            </w:pPr>
            <w:r>
              <w:rPr>
                <w:sz w:val="24"/>
              </w:rPr>
              <w:t>OH</w:t>
            </w:r>
            <w:r>
              <w:rPr>
                <w:rFonts w:hint="eastAsia"/>
                <w:sz w:val="24"/>
                <w:vertAlign w:val="superscript"/>
              </w:rPr>
              <w:t>-</w:t>
            </w:r>
            <w:r>
              <w:rPr>
                <w:rFonts w:hAnsi="宋体"/>
                <w:sz w:val="24"/>
              </w:rPr>
              <w:t>、重金属</w:t>
            </w:r>
            <w:r>
              <w:rPr>
                <w:rFonts w:hint="eastAsia" w:hAnsi="宋体"/>
                <w:sz w:val="24"/>
              </w:rPr>
              <w:t>、</w:t>
            </w:r>
            <w:r>
              <w:rPr>
                <w:rFonts w:hAnsi="宋体"/>
                <w:sz w:val="24"/>
              </w:rPr>
              <w:t>氟化物</w:t>
            </w:r>
            <w:r>
              <w:rPr>
                <w:rFonts w:hint="eastAsia" w:hAnsi="宋体"/>
                <w:sz w:val="24"/>
              </w:rPr>
              <w:t>、二氯甲烷、有机物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7" w:hRule="atLeast"/>
        </w:trPr>
        <w:tc>
          <w:tcPr>
            <w:tcW w:w="2158"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污水处理站</w:t>
            </w:r>
          </w:p>
        </w:tc>
        <w:tc>
          <w:tcPr>
            <w:tcW w:w="1151"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4#</w:t>
            </w:r>
          </w:p>
        </w:tc>
        <w:tc>
          <w:tcPr>
            <w:tcW w:w="3889"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rFonts w:hint="eastAsia" w:hAnsi="宋体"/>
                <w:sz w:val="24"/>
              </w:rPr>
              <w:t>生产废水和生活污水排污水处理站。采用“</w:t>
            </w:r>
            <w:r>
              <w:rPr>
                <w:rFonts w:hint="eastAsia"/>
                <w:sz w:val="24"/>
              </w:rPr>
              <w:t>隔油+调节+微电解+气浮+二级生化+CASS污泥法</w:t>
            </w:r>
            <w:r>
              <w:rPr>
                <w:rFonts w:hint="eastAsia" w:hAnsi="宋体"/>
                <w:sz w:val="24"/>
              </w:rPr>
              <w:t>”工艺</w:t>
            </w:r>
          </w:p>
        </w:tc>
        <w:tc>
          <w:tcPr>
            <w:tcW w:w="3600"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rFonts w:hint="eastAsia"/>
                <w:sz w:val="24"/>
              </w:rPr>
              <w:t>污泥</w:t>
            </w:r>
          </w:p>
        </w:tc>
        <w:tc>
          <w:tcPr>
            <w:tcW w:w="3376" w:type="dxa"/>
            <w:tcBorders>
              <w:top w:val="single" w:color="000000" w:sz="4" w:space="0"/>
              <w:left w:val="single" w:color="000000" w:sz="4" w:space="0"/>
              <w:right w:val="single" w:color="000000" w:sz="4" w:space="0"/>
            </w:tcBorders>
            <w:vAlign w:val="center"/>
          </w:tcPr>
          <w:p>
            <w:pPr>
              <w:autoSpaceDE w:val="0"/>
              <w:autoSpaceDN w:val="0"/>
              <w:adjustRightInd w:val="0"/>
              <w:snapToGrid w:val="0"/>
              <w:jc w:val="center"/>
              <w:rPr>
                <w:sz w:val="24"/>
              </w:rPr>
            </w:pPr>
            <w:r>
              <w:rPr>
                <w:sz w:val="24"/>
              </w:rPr>
              <w:t>H</w:t>
            </w:r>
            <w:r>
              <w:rPr>
                <w:rFonts w:hint="eastAsia"/>
                <w:sz w:val="24"/>
                <w:vertAlign w:val="superscript"/>
              </w:rPr>
              <w:t>+</w:t>
            </w:r>
            <w:r>
              <w:rPr>
                <w:rFonts w:hAnsi="宋体"/>
                <w:sz w:val="24"/>
              </w:rPr>
              <w:t>、重金属</w:t>
            </w:r>
            <w:r>
              <w:rPr>
                <w:rFonts w:hint="eastAsia" w:hAnsi="宋体"/>
                <w:sz w:val="24"/>
              </w:rPr>
              <w:t>、有机物</w:t>
            </w:r>
          </w:p>
        </w:tc>
      </w:tr>
    </w:tbl>
    <w:p>
      <w:pPr>
        <w:spacing w:line="360" w:lineRule="auto"/>
        <w:ind w:firstLine="480"/>
        <w:jc w:val="left"/>
        <w:rPr>
          <w:sz w:val="24"/>
        </w:rPr>
        <w:sectPr>
          <w:footerReference r:id="rId15" w:type="first"/>
          <w:pgSz w:w="16838" w:h="11906" w:orient="landscape"/>
          <w:pgMar w:top="1588" w:right="1440" w:bottom="1474" w:left="1440" w:header="851" w:footer="992" w:gutter="0"/>
          <w:cols w:space="720" w:num="1"/>
          <w:titlePg/>
          <w:docGrid w:type="lines" w:linePitch="312" w:charSpace="0"/>
        </w:sectPr>
      </w:pPr>
    </w:p>
    <w:p>
      <w:pPr>
        <w:spacing w:line="360" w:lineRule="auto"/>
        <w:ind w:firstLine="480"/>
        <w:jc w:val="left"/>
        <w:rPr>
          <w:b/>
          <w:sz w:val="28"/>
          <w:szCs w:val="28"/>
        </w:rPr>
      </w:pPr>
      <w:r>
        <w:rPr>
          <w:b/>
          <w:sz w:val="28"/>
          <w:szCs w:val="28"/>
        </w:rPr>
        <w:t>可能的污染因子分析</w:t>
      </w:r>
    </w:p>
    <w:p>
      <w:pPr>
        <w:spacing w:line="360" w:lineRule="auto"/>
        <w:ind w:firstLine="480"/>
        <w:jc w:val="left"/>
        <w:rPr>
          <w:sz w:val="28"/>
          <w:szCs w:val="28"/>
        </w:rPr>
      </w:pPr>
      <w:r>
        <w:rPr>
          <w:rFonts w:hint="eastAsia"/>
          <w:sz w:val="28"/>
          <w:szCs w:val="28"/>
        </w:rPr>
        <w:t>项目</w:t>
      </w:r>
      <w:r>
        <w:rPr>
          <w:sz w:val="28"/>
          <w:szCs w:val="28"/>
        </w:rPr>
        <w:t>生产对场地土壤和地下水的主要污染来源为原辅料</w:t>
      </w:r>
      <w:r>
        <w:rPr>
          <w:rFonts w:hint="eastAsia"/>
          <w:sz w:val="28"/>
          <w:szCs w:val="28"/>
        </w:rPr>
        <w:t>，瑞舒伐他汀钙原料药和坎地沙坦酯原料药生产过程的</w:t>
      </w:r>
      <w:r>
        <w:rPr>
          <w:sz w:val="28"/>
          <w:szCs w:val="28"/>
        </w:rPr>
        <w:t>中间产物及污染物排放。</w:t>
      </w:r>
      <w:r>
        <w:rPr>
          <w:rFonts w:hint="eastAsia"/>
          <w:sz w:val="28"/>
          <w:szCs w:val="28"/>
        </w:rPr>
        <w:t>通过前期调查分析，从使用的原辅材料、中间产物及排污情况来看，本场地主要污染因子包括P</w:t>
      </w:r>
      <w:r>
        <w:rPr>
          <w:sz w:val="28"/>
          <w:szCs w:val="28"/>
        </w:rPr>
        <w:t>H</w:t>
      </w:r>
      <w:r>
        <w:rPr>
          <w:rFonts w:hint="eastAsia"/>
          <w:sz w:val="28"/>
          <w:szCs w:val="28"/>
        </w:rPr>
        <w:t>、</w:t>
      </w:r>
      <w:r>
        <w:rPr>
          <w:sz w:val="28"/>
          <w:szCs w:val="28"/>
        </w:rPr>
        <w:t>镉</w:t>
      </w:r>
      <w:r>
        <w:rPr>
          <w:rFonts w:hint="eastAsia"/>
          <w:sz w:val="28"/>
          <w:szCs w:val="28"/>
        </w:rPr>
        <w:t>、</w:t>
      </w:r>
      <w:r>
        <w:rPr>
          <w:sz w:val="28"/>
          <w:szCs w:val="28"/>
        </w:rPr>
        <w:t>六价铬</w:t>
      </w:r>
      <w:r>
        <w:rPr>
          <w:rFonts w:hint="eastAsia"/>
          <w:sz w:val="28"/>
          <w:szCs w:val="28"/>
        </w:rPr>
        <w:t>、</w:t>
      </w:r>
      <w:r>
        <w:rPr>
          <w:sz w:val="28"/>
          <w:szCs w:val="28"/>
        </w:rPr>
        <w:t>汞</w:t>
      </w:r>
      <w:r>
        <w:rPr>
          <w:rFonts w:hint="eastAsia"/>
          <w:sz w:val="28"/>
          <w:szCs w:val="28"/>
        </w:rPr>
        <w:t>、</w:t>
      </w:r>
      <w:r>
        <w:rPr>
          <w:sz w:val="28"/>
          <w:szCs w:val="28"/>
        </w:rPr>
        <w:t>砷</w:t>
      </w:r>
      <w:r>
        <w:rPr>
          <w:rFonts w:hint="eastAsia"/>
          <w:sz w:val="28"/>
          <w:szCs w:val="28"/>
        </w:rPr>
        <w:t>、</w:t>
      </w:r>
      <w:r>
        <w:rPr>
          <w:sz w:val="28"/>
          <w:szCs w:val="28"/>
        </w:rPr>
        <w:t>铅</w:t>
      </w:r>
      <w:r>
        <w:rPr>
          <w:rFonts w:hint="eastAsia"/>
          <w:sz w:val="28"/>
          <w:szCs w:val="28"/>
        </w:rPr>
        <w:t>、</w:t>
      </w:r>
      <w:r>
        <w:rPr>
          <w:sz w:val="28"/>
          <w:szCs w:val="28"/>
        </w:rPr>
        <w:t>氟化物</w:t>
      </w:r>
      <w:r>
        <w:rPr>
          <w:rFonts w:hint="eastAsia"/>
          <w:sz w:val="28"/>
          <w:szCs w:val="28"/>
        </w:rPr>
        <w:t>、</w:t>
      </w:r>
      <w:r>
        <w:rPr>
          <w:sz w:val="28"/>
          <w:szCs w:val="28"/>
        </w:rPr>
        <w:t>二氯甲烷</w:t>
      </w:r>
      <w:r>
        <w:rPr>
          <w:rFonts w:hint="eastAsia"/>
          <w:sz w:val="28"/>
          <w:szCs w:val="28"/>
        </w:rPr>
        <w:t>、</w:t>
      </w:r>
      <w:r>
        <w:rPr>
          <w:sz w:val="28"/>
          <w:szCs w:val="28"/>
        </w:rPr>
        <w:t>甲苯</w:t>
      </w:r>
      <w:r>
        <w:rPr>
          <w:rFonts w:hint="eastAsia"/>
          <w:sz w:val="28"/>
          <w:szCs w:val="28"/>
        </w:rPr>
        <w:t>。</w:t>
      </w:r>
      <w:r>
        <w:rPr>
          <w:sz w:val="28"/>
          <w:szCs w:val="28"/>
        </w:rPr>
        <w:t>场地可能的污染因子如表</w:t>
      </w:r>
      <w:r>
        <w:rPr>
          <w:rFonts w:hint="eastAsia"/>
          <w:sz w:val="28"/>
          <w:szCs w:val="28"/>
        </w:rPr>
        <w:t>5-2</w:t>
      </w:r>
      <w:r>
        <w:rPr>
          <w:sz w:val="28"/>
          <w:szCs w:val="28"/>
        </w:rPr>
        <w:t>所示。</w:t>
      </w:r>
    </w:p>
    <w:p>
      <w:pPr>
        <w:ind w:firstLine="482"/>
        <w:jc w:val="center"/>
        <w:rPr>
          <w:b/>
          <w:sz w:val="24"/>
        </w:rPr>
      </w:pPr>
      <w:r>
        <w:rPr>
          <w:b/>
          <w:sz w:val="24"/>
        </w:rPr>
        <w:t>表</w:t>
      </w:r>
      <w:r>
        <w:rPr>
          <w:rFonts w:hint="eastAsia"/>
          <w:b/>
          <w:sz w:val="24"/>
        </w:rPr>
        <w:t>5-2</w:t>
      </w:r>
      <w:r>
        <w:rPr>
          <w:b/>
          <w:sz w:val="24"/>
        </w:rPr>
        <w:t>场地可能的污染因子</w:t>
      </w:r>
    </w:p>
    <w:tbl>
      <w:tblPr>
        <w:tblStyle w:val="1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5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sz w:val="24"/>
              </w:rPr>
              <w:t>序号</w:t>
            </w:r>
          </w:p>
        </w:tc>
        <w:tc>
          <w:tcPr>
            <w:tcW w:w="2520" w:type="dxa"/>
            <w:vAlign w:val="center"/>
          </w:tcPr>
          <w:p>
            <w:pPr>
              <w:spacing w:line="360" w:lineRule="auto"/>
              <w:jc w:val="center"/>
              <w:rPr>
                <w:sz w:val="24"/>
              </w:rPr>
            </w:pPr>
            <w:r>
              <w:rPr>
                <w:sz w:val="24"/>
              </w:rPr>
              <w:t>可能的污染因子</w:t>
            </w:r>
          </w:p>
        </w:tc>
        <w:tc>
          <w:tcPr>
            <w:tcW w:w="5712" w:type="dxa"/>
            <w:vAlign w:val="center"/>
          </w:tcPr>
          <w:p>
            <w:pPr>
              <w:spacing w:line="360" w:lineRule="auto"/>
              <w:jc w:val="center"/>
              <w:rPr>
                <w:sz w:val="24"/>
              </w:rPr>
            </w:pPr>
            <w:r>
              <w:rPr>
                <w:sz w:val="24"/>
              </w:rPr>
              <w:t>污染来源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sz w:val="24"/>
              </w:rPr>
              <w:t>1</w:t>
            </w:r>
          </w:p>
        </w:tc>
        <w:tc>
          <w:tcPr>
            <w:tcW w:w="2520" w:type="dxa"/>
            <w:vAlign w:val="center"/>
          </w:tcPr>
          <w:p>
            <w:pPr>
              <w:spacing w:line="360" w:lineRule="auto"/>
              <w:jc w:val="center"/>
              <w:rPr>
                <w:sz w:val="24"/>
              </w:rPr>
            </w:pPr>
            <w:r>
              <w:rPr>
                <w:sz w:val="24"/>
              </w:rPr>
              <w:t>pH</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2</w:t>
            </w:r>
          </w:p>
        </w:tc>
        <w:tc>
          <w:tcPr>
            <w:tcW w:w="2520" w:type="dxa"/>
            <w:vAlign w:val="center"/>
          </w:tcPr>
          <w:p>
            <w:pPr>
              <w:spacing w:line="360" w:lineRule="auto"/>
              <w:jc w:val="center"/>
              <w:rPr>
                <w:sz w:val="24"/>
              </w:rPr>
            </w:pPr>
            <w:r>
              <w:rPr>
                <w:rFonts w:hint="eastAsia"/>
                <w:sz w:val="24"/>
              </w:rPr>
              <w:t>六价铬</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3</w:t>
            </w:r>
          </w:p>
        </w:tc>
        <w:tc>
          <w:tcPr>
            <w:tcW w:w="2520" w:type="dxa"/>
            <w:vAlign w:val="center"/>
          </w:tcPr>
          <w:p>
            <w:pPr>
              <w:spacing w:line="360" w:lineRule="auto"/>
              <w:jc w:val="center"/>
              <w:rPr>
                <w:sz w:val="24"/>
              </w:rPr>
            </w:pPr>
            <w:r>
              <w:rPr>
                <w:rFonts w:hint="eastAsia"/>
                <w:sz w:val="24"/>
              </w:rPr>
              <w:t>汞</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828" w:type="dxa"/>
            <w:vAlign w:val="center"/>
          </w:tcPr>
          <w:p>
            <w:pPr>
              <w:spacing w:line="360" w:lineRule="auto"/>
              <w:jc w:val="center"/>
              <w:rPr>
                <w:sz w:val="24"/>
              </w:rPr>
            </w:pPr>
            <w:r>
              <w:rPr>
                <w:rFonts w:hint="eastAsia"/>
                <w:sz w:val="24"/>
              </w:rPr>
              <w:t>4</w:t>
            </w:r>
          </w:p>
        </w:tc>
        <w:tc>
          <w:tcPr>
            <w:tcW w:w="2520" w:type="dxa"/>
            <w:vAlign w:val="center"/>
          </w:tcPr>
          <w:p>
            <w:pPr>
              <w:spacing w:line="360" w:lineRule="auto"/>
              <w:jc w:val="center"/>
              <w:rPr>
                <w:sz w:val="24"/>
              </w:rPr>
            </w:pPr>
            <w:r>
              <w:rPr>
                <w:rFonts w:hint="eastAsia"/>
                <w:sz w:val="24"/>
              </w:rPr>
              <w:t>砷</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5</w:t>
            </w:r>
          </w:p>
        </w:tc>
        <w:tc>
          <w:tcPr>
            <w:tcW w:w="2520" w:type="dxa"/>
            <w:vAlign w:val="center"/>
          </w:tcPr>
          <w:p>
            <w:pPr>
              <w:spacing w:line="360" w:lineRule="auto"/>
              <w:jc w:val="center"/>
              <w:rPr>
                <w:sz w:val="24"/>
              </w:rPr>
            </w:pPr>
            <w:r>
              <w:rPr>
                <w:rFonts w:hint="eastAsia"/>
                <w:sz w:val="24"/>
              </w:rPr>
              <w:t>铅</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6</w:t>
            </w:r>
          </w:p>
        </w:tc>
        <w:tc>
          <w:tcPr>
            <w:tcW w:w="2520" w:type="dxa"/>
            <w:vAlign w:val="center"/>
          </w:tcPr>
          <w:p>
            <w:pPr>
              <w:spacing w:line="360" w:lineRule="auto"/>
              <w:jc w:val="center"/>
              <w:rPr>
                <w:sz w:val="24"/>
              </w:rPr>
            </w:pPr>
            <w:r>
              <w:rPr>
                <w:rFonts w:hint="eastAsia"/>
                <w:sz w:val="24"/>
              </w:rPr>
              <w:t>镉</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7</w:t>
            </w:r>
          </w:p>
        </w:tc>
        <w:tc>
          <w:tcPr>
            <w:tcW w:w="2520" w:type="dxa"/>
            <w:vAlign w:val="center"/>
          </w:tcPr>
          <w:p>
            <w:pPr>
              <w:spacing w:line="360" w:lineRule="auto"/>
              <w:jc w:val="center"/>
              <w:rPr>
                <w:sz w:val="24"/>
              </w:rPr>
            </w:pPr>
            <w:r>
              <w:rPr>
                <w:sz w:val="24"/>
              </w:rPr>
              <w:t>氟化物</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8</w:t>
            </w:r>
          </w:p>
        </w:tc>
        <w:tc>
          <w:tcPr>
            <w:tcW w:w="2520" w:type="dxa"/>
            <w:vAlign w:val="center"/>
          </w:tcPr>
          <w:p>
            <w:pPr>
              <w:spacing w:line="360" w:lineRule="auto"/>
              <w:jc w:val="center"/>
              <w:rPr>
                <w:sz w:val="24"/>
              </w:rPr>
            </w:pPr>
            <w:r>
              <w:rPr>
                <w:rFonts w:hint="eastAsia"/>
                <w:sz w:val="24"/>
              </w:rPr>
              <w:t>甲苯</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9</w:t>
            </w:r>
          </w:p>
        </w:tc>
        <w:tc>
          <w:tcPr>
            <w:tcW w:w="2520" w:type="dxa"/>
            <w:vAlign w:val="center"/>
          </w:tcPr>
          <w:p>
            <w:pPr>
              <w:spacing w:line="360" w:lineRule="auto"/>
              <w:jc w:val="center"/>
              <w:rPr>
                <w:sz w:val="24"/>
              </w:rPr>
            </w:pPr>
            <w:r>
              <w:rPr>
                <w:sz w:val="24"/>
              </w:rPr>
              <w:t>二甲苯</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10</w:t>
            </w:r>
          </w:p>
        </w:tc>
        <w:tc>
          <w:tcPr>
            <w:tcW w:w="2520" w:type="dxa"/>
            <w:vAlign w:val="center"/>
          </w:tcPr>
          <w:p>
            <w:pPr>
              <w:spacing w:line="360" w:lineRule="auto"/>
              <w:jc w:val="center"/>
              <w:rPr>
                <w:sz w:val="24"/>
              </w:rPr>
            </w:pPr>
            <w:r>
              <w:rPr>
                <w:rFonts w:hint="eastAsia"/>
                <w:sz w:val="24"/>
              </w:rPr>
              <w:t>二氯甲烷</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11</w:t>
            </w:r>
          </w:p>
        </w:tc>
        <w:tc>
          <w:tcPr>
            <w:tcW w:w="2520" w:type="dxa"/>
            <w:vAlign w:val="center"/>
          </w:tcPr>
          <w:p>
            <w:pPr>
              <w:spacing w:line="360" w:lineRule="auto"/>
              <w:jc w:val="center"/>
              <w:rPr>
                <w:sz w:val="24"/>
              </w:rPr>
            </w:pPr>
            <w:r>
              <w:rPr>
                <w:rFonts w:hint="eastAsia"/>
                <w:sz w:val="24"/>
              </w:rPr>
              <w:t>二氯乙烷</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12</w:t>
            </w:r>
          </w:p>
        </w:tc>
        <w:tc>
          <w:tcPr>
            <w:tcW w:w="2520" w:type="dxa"/>
            <w:vAlign w:val="center"/>
          </w:tcPr>
          <w:p>
            <w:pPr>
              <w:spacing w:line="360" w:lineRule="auto"/>
              <w:jc w:val="center"/>
              <w:rPr>
                <w:sz w:val="24"/>
              </w:rPr>
            </w:pPr>
            <w:r>
              <w:rPr>
                <w:rFonts w:hint="eastAsia"/>
                <w:sz w:val="24"/>
              </w:rPr>
              <w:t>氯仿</w:t>
            </w:r>
          </w:p>
        </w:tc>
        <w:tc>
          <w:tcPr>
            <w:tcW w:w="5712" w:type="dxa"/>
            <w:vAlign w:val="center"/>
          </w:tcPr>
          <w:p>
            <w:pPr>
              <w:spacing w:line="360" w:lineRule="auto"/>
              <w:jc w:val="center"/>
              <w:rPr>
                <w:sz w:val="24"/>
              </w:rP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13</w:t>
            </w:r>
          </w:p>
        </w:tc>
        <w:tc>
          <w:tcPr>
            <w:tcW w:w="2520" w:type="dxa"/>
            <w:vAlign w:val="center"/>
          </w:tcPr>
          <w:p>
            <w:pPr>
              <w:spacing w:line="360" w:lineRule="auto"/>
              <w:jc w:val="center"/>
              <w:rPr>
                <w:sz w:val="24"/>
              </w:rPr>
            </w:pPr>
            <w:r>
              <w:rPr>
                <w:rFonts w:hint="eastAsia"/>
                <w:sz w:val="24"/>
              </w:rPr>
              <w:t>甲醇</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14</w:t>
            </w:r>
          </w:p>
        </w:tc>
        <w:tc>
          <w:tcPr>
            <w:tcW w:w="2520" w:type="dxa"/>
            <w:vAlign w:val="center"/>
          </w:tcPr>
          <w:p>
            <w:pPr>
              <w:spacing w:line="360" w:lineRule="auto"/>
              <w:jc w:val="center"/>
              <w:rPr>
                <w:sz w:val="24"/>
              </w:rPr>
            </w:pPr>
            <w:r>
              <w:rPr>
                <w:rFonts w:hint="eastAsia"/>
                <w:sz w:val="24"/>
              </w:rPr>
              <w:t>乙醇</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15</w:t>
            </w:r>
          </w:p>
        </w:tc>
        <w:tc>
          <w:tcPr>
            <w:tcW w:w="2520" w:type="dxa"/>
            <w:vAlign w:val="center"/>
          </w:tcPr>
          <w:p>
            <w:pPr>
              <w:spacing w:line="360" w:lineRule="auto"/>
              <w:jc w:val="center"/>
              <w:rPr>
                <w:sz w:val="24"/>
              </w:rPr>
            </w:pPr>
            <w:r>
              <w:rPr>
                <w:rFonts w:hint="eastAsia"/>
                <w:sz w:val="24"/>
              </w:rPr>
              <w:t>石油烃</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16</w:t>
            </w:r>
          </w:p>
        </w:tc>
        <w:tc>
          <w:tcPr>
            <w:tcW w:w="2520" w:type="dxa"/>
            <w:vAlign w:val="center"/>
          </w:tcPr>
          <w:p>
            <w:pPr>
              <w:spacing w:line="360" w:lineRule="auto"/>
              <w:jc w:val="center"/>
              <w:rPr>
                <w:sz w:val="24"/>
              </w:rPr>
            </w:pPr>
            <w:r>
              <w:rPr>
                <w:rFonts w:hint="eastAsia"/>
                <w:sz w:val="24"/>
              </w:rPr>
              <w:t>乙酸乙酯</w:t>
            </w:r>
          </w:p>
        </w:tc>
        <w:tc>
          <w:tcPr>
            <w:tcW w:w="5712" w:type="dxa"/>
            <w:vAlign w:val="center"/>
          </w:tcPr>
          <w:p>
            <w:pPr>
              <w:jc w:val="center"/>
            </w:pPr>
            <w:r>
              <w:rPr>
                <w:rFonts w:hint="eastAsia"/>
                <w:sz w:val="24"/>
              </w:rPr>
              <w:t>生产原辅料中带入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spacing w:line="360" w:lineRule="auto"/>
              <w:jc w:val="center"/>
              <w:rPr>
                <w:sz w:val="24"/>
              </w:rPr>
            </w:pPr>
            <w:r>
              <w:rPr>
                <w:rFonts w:hint="eastAsia"/>
                <w:sz w:val="24"/>
              </w:rPr>
              <w:t>17</w:t>
            </w:r>
          </w:p>
        </w:tc>
        <w:tc>
          <w:tcPr>
            <w:tcW w:w="2520" w:type="dxa"/>
            <w:vAlign w:val="center"/>
          </w:tcPr>
          <w:p>
            <w:pPr>
              <w:spacing w:line="360" w:lineRule="auto"/>
              <w:jc w:val="center"/>
              <w:rPr>
                <w:sz w:val="24"/>
              </w:rPr>
            </w:pPr>
            <w:r>
              <w:rPr>
                <w:rFonts w:hint="eastAsia"/>
                <w:sz w:val="24"/>
              </w:rPr>
              <w:t>乙腈</w:t>
            </w:r>
          </w:p>
        </w:tc>
        <w:tc>
          <w:tcPr>
            <w:tcW w:w="5712" w:type="dxa"/>
            <w:vAlign w:val="center"/>
          </w:tcPr>
          <w:p>
            <w:pPr>
              <w:jc w:val="center"/>
            </w:pPr>
            <w:r>
              <w:rPr>
                <w:rFonts w:hint="eastAsia"/>
                <w:sz w:val="24"/>
              </w:rPr>
              <w:t>生产原辅料中带入</w:t>
            </w:r>
          </w:p>
        </w:tc>
      </w:tr>
    </w:tbl>
    <w:p>
      <w:pPr>
        <w:spacing w:beforeLines="20" w:line="360" w:lineRule="auto"/>
        <w:ind w:firstLine="480"/>
        <w:rPr>
          <w:sz w:val="24"/>
        </w:rPr>
      </w:pPr>
    </w:p>
    <w:p>
      <w:pPr>
        <w:spacing w:beforeLines="20" w:line="360" w:lineRule="auto"/>
        <w:ind w:firstLine="480"/>
        <w:rPr>
          <w:sz w:val="24"/>
        </w:rPr>
      </w:pPr>
    </w:p>
    <w:p>
      <w:pPr>
        <w:spacing w:line="360" w:lineRule="auto"/>
        <w:jc w:val="center"/>
        <w:outlineLvl w:val="0"/>
        <w:rPr>
          <w:b/>
          <w:sz w:val="36"/>
          <w:szCs w:val="36"/>
        </w:rPr>
      </w:pPr>
      <w:r>
        <w:rPr>
          <w:b/>
          <w:sz w:val="36"/>
          <w:szCs w:val="36"/>
        </w:rPr>
        <w:br w:type="page"/>
      </w:r>
      <w:bookmarkStart w:id="37" w:name="_Toc532386764"/>
      <w:r>
        <w:rPr>
          <w:rFonts w:hint="eastAsia"/>
          <w:b/>
          <w:sz w:val="36"/>
          <w:szCs w:val="36"/>
        </w:rPr>
        <w:t>6、自行监测</w:t>
      </w:r>
      <w:r>
        <w:rPr>
          <w:b/>
          <w:sz w:val="36"/>
          <w:szCs w:val="36"/>
        </w:rPr>
        <w:t>工作计划</w:t>
      </w:r>
      <w:bookmarkEnd w:id="37"/>
    </w:p>
    <w:p>
      <w:pPr>
        <w:spacing w:line="360" w:lineRule="auto"/>
        <w:outlineLvl w:val="1"/>
        <w:rPr>
          <w:b/>
          <w:sz w:val="28"/>
          <w:szCs w:val="28"/>
        </w:rPr>
      </w:pPr>
      <w:bookmarkStart w:id="38" w:name="_Toc532386765"/>
      <w:r>
        <w:rPr>
          <w:rFonts w:hint="eastAsia"/>
          <w:b/>
          <w:sz w:val="28"/>
          <w:szCs w:val="28"/>
        </w:rPr>
        <w:t>6</w:t>
      </w:r>
      <w:r>
        <w:rPr>
          <w:b/>
          <w:sz w:val="28"/>
          <w:szCs w:val="28"/>
        </w:rPr>
        <w:t xml:space="preserve">.1 </w:t>
      </w:r>
      <w:r>
        <w:rPr>
          <w:rFonts w:hint="eastAsia"/>
          <w:b/>
          <w:sz w:val="28"/>
          <w:szCs w:val="28"/>
        </w:rPr>
        <w:t>自行监测</w:t>
      </w:r>
      <w:r>
        <w:rPr>
          <w:b/>
          <w:sz w:val="28"/>
          <w:szCs w:val="28"/>
        </w:rPr>
        <w:t>方案要求</w:t>
      </w:r>
      <w:bookmarkEnd w:id="38"/>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39" w:name="_Toc532386766"/>
      <w:r>
        <w:rPr>
          <w:rFonts w:hint="eastAsia" w:ascii="Times New Roman" w:hAnsi="Times New Roman" w:cs="Times New Roman"/>
          <w:sz w:val="28"/>
          <w:szCs w:val="28"/>
        </w:rPr>
        <w:t>6</w:t>
      </w:r>
      <w:r>
        <w:rPr>
          <w:rFonts w:ascii="Times New Roman" w:hAnsi="Times New Roman" w:cs="Times New Roman"/>
          <w:sz w:val="28"/>
          <w:szCs w:val="28"/>
        </w:rPr>
        <w:t>.1.</w:t>
      </w:r>
      <w:r>
        <w:rPr>
          <w:rFonts w:hint="eastAsia" w:ascii="Times New Roman" w:hAnsi="Times New Roman" w:cs="Times New Roman"/>
          <w:sz w:val="28"/>
          <w:szCs w:val="28"/>
        </w:rPr>
        <w:t>1背景监测点</w:t>
      </w:r>
      <w:bookmarkEnd w:id="39"/>
    </w:p>
    <w:p>
      <w:pPr>
        <w:adjustRightInd w:val="0"/>
        <w:snapToGrid w:val="0"/>
        <w:spacing w:line="360" w:lineRule="auto"/>
        <w:ind w:firstLine="560" w:firstLineChars="200"/>
        <w:rPr>
          <w:sz w:val="28"/>
          <w:szCs w:val="28"/>
        </w:rPr>
      </w:pPr>
      <w:r>
        <w:rPr>
          <w:rFonts w:hint="eastAsia"/>
          <w:sz w:val="28"/>
          <w:szCs w:val="28"/>
        </w:rPr>
        <w:t>在重点区域及设施识别工作完成后，应在企业外部区域或企业内远离各重点区域及设施处布设至少1个土壤/地下水背景监测点/监测井。背景监测点/监测井应设置在所有重点区域及设施的上游，以提供不受企业生产过程影响且可以代表土壤/地下水质量的样品。</w:t>
      </w:r>
    </w:p>
    <w:p>
      <w:pPr>
        <w:adjustRightInd w:val="0"/>
        <w:snapToGrid w:val="0"/>
        <w:spacing w:line="360" w:lineRule="auto"/>
        <w:ind w:firstLine="560" w:firstLineChars="200"/>
        <w:rPr>
          <w:sz w:val="28"/>
          <w:szCs w:val="28"/>
        </w:rPr>
      </w:pPr>
      <w:r>
        <w:rPr>
          <w:rFonts w:hint="eastAsia"/>
          <w:sz w:val="28"/>
          <w:szCs w:val="28"/>
        </w:rPr>
        <w:t>在地下水及土壤气采样建井过程中钻探出的土壤样品，应作为地块初次采样时的背景值进行分析测试并予以记录。</w:t>
      </w:r>
    </w:p>
    <w:p>
      <w:pPr>
        <w:adjustRightInd w:val="0"/>
        <w:snapToGrid w:val="0"/>
        <w:spacing w:line="360" w:lineRule="auto"/>
        <w:ind w:firstLine="560" w:firstLineChars="200"/>
        <w:rPr>
          <w:sz w:val="28"/>
          <w:szCs w:val="28"/>
        </w:rPr>
      </w:pPr>
      <w:r>
        <w:rPr>
          <w:rFonts w:hint="eastAsia"/>
          <w:sz w:val="28"/>
          <w:szCs w:val="28"/>
        </w:rPr>
        <w:t>地下水背景监测井应与污染物监测井设置在同一含水层。</w:t>
      </w:r>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40" w:name="_Toc532386767"/>
      <w:r>
        <w:rPr>
          <w:rFonts w:hint="eastAsia" w:ascii="Times New Roman" w:hAnsi="Times New Roman" w:cs="Times New Roman"/>
          <w:sz w:val="28"/>
          <w:szCs w:val="28"/>
        </w:rPr>
        <w:t>6.1.2土壤监测</w:t>
      </w:r>
      <w:bookmarkEnd w:id="40"/>
    </w:p>
    <w:p>
      <w:pPr>
        <w:adjustRightInd w:val="0"/>
        <w:snapToGrid w:val="0"/>
        <w:spacing w:line="360" w:lineRule="auto"/>
        <w:ind w:firstLine="560" w:firstLineChars="200"/>
        <w:rPr>
          <w:sz w:val="28"/>
          <w:szCs w:val="28"/>
        </w:rPr>
      </w:pPr>
      <w:r>
        <w:rPr>
          <w:rFonts w:hint="eastAsia"/>
          <w:sz w:val="28"/>
          <w:szCs w:val="28"/>
        </w:rPr>
        <w:t>1、一般监测</w:t>
      </w:r>
    </w:p>
    <w:p>
      <w:pPr>
        <w:adjustRightInd w:val="0"/>
        <w:snapToGrid w:val="0"/>
        <w:spacing w:line="360" w:lineRule="auto"/>
        <w:ind w:firstLine="560" w:firstLineChars="200"/>
        <w:rPr>
          <w:sz w:val="28"/>
          <w:szCs w:val="28"/>
        </w:rPr>
      </w:pPr>
      <w:r>
        <w:rPr>
          <w:rFonts w:hint="eastAsia"/>
          <w:sz w:val="28"/>
          <w:szCs w:val="28"/>
        </w:rPr>
        <w:t>一般来说，除去特征污染物只包含挥发性有机物的重点区域或设施外，其他区域或设施周边均应定期开展土壤一般监测工作。</w:t>
      </w:r>
    </w:p>
    <w:p>
      <w:pPr>
        <w:adjustRightInd w:val="0"/>
        <w:snapToGrid w:val="0"/>
        <w:spacing w:line="360" w:lineRule="auto"/>
        <w:ind w:firstLine="560" w:firstLineChars="200"/>
        <w:rPr>
          <w:sz w:val="28"/>
          <w:szCs w:val="28"/>
        </w:rPr>
      </w:pPr>
      <w:r>
        <w:rPr>
          <w:rFonts w:hint="eastAsia"/>
          <w:sz w:val="28"/>
          <w:szCs w:val="28"/>
        </w:rPr>
        <w:t>（1）点位数量</w:t>
      </w:r>
    </w:p>
    <w:p>
      <w:pPr>
        <w:adjustRightInd w:val="0"/>
        <w:snapToGrid w:val="0"/>
        <w:spacing w:line="360" w:lineRule="auto"/>
        <w:ind w:firstLine="560" w:firstLineChars="200"/>
        <w:rPr>
          <w:sz w:val="28"/>
          <w:szCs w:val="28"/>
        </w:rPr>
      </w:pPr>
      <w:r>
        <w:rPr>
          <w:rFonts w:hint="eastAsia"/>
          <w:sz w:val="28"/>
          <w:szCs w:val="28"/>
        </w:rPr>
        <w:t>每个重点区域或设施周边应至少布设1-3个土壤采样点。采样点具体数量可根据待监测区域大小等实际情况进行适当调整。</w:t>
      </w:r>
    </w:p>
    <w:p>
      <w:pPr>
        <w:adjustRightInd w:val="0"/>
        <w:snapToGrid w:val="0"/>
        <w:spacing w:line="360" w:lineRule="auto"/>
        <w:ind w:firstLine="560" w:firstLineChars="200"/>
        <w:rPr>
          <w:sz w:val="28"/>
          <w:szCs w:val="28"/>
        </w:rPr>
      </w:pPr>
      <w:r>
        <w:rPr>
          <w:rFonts w:hint="eastAsia"/>
          <w:sz w:val="28"/>
          <w:szCs w:val="28"/>
        </w:rPr>
        <w:t>（2）点位位置</w:t>
      </w:r>
    </w:p>
    <w:p>
      <w:pPr>
        <w:adjustRightInd w:val="0"/>
        <w:snapToGrid w:val="0"/>
        <w:spacing w:line="360" w:lineRule="auto"/>
        <w:ind w:firstLine="560" w:firstLineChars="200"/>
        <w:rPr>
          <w:sz w:val="28"/>
          <w:szCs w:val="28"/>
        </w:rPr>
      </w:pPr>
      <w:r>
        <w:rPr>
          <w:rFonts w:hint="eastAsia"/>
          <w:sz w:val="28"/>
          <w:szCs w:val="28"/>
        </w:rPr>
        <w:t>采样点应在不影响企业正常生产且不造成安全隐患与二次污染的情况下尽可能接近污染源。</w:t>
      </w:r>
    </w:p>
    <w:p>
      <w:pPr>
        <w:adjustRightInd w:val="0"/>
        <w:snapToGrid w:val="0"/>
        <w:spacing w:line="360" w:lineRule="auto"/>
        <w:ind w:firstLine="560" w:firstLineChars="200"/>
        <w:rPr>
          <w:sz w:val="28"/>
          <w:szCs w:val="28"/>
        </w:rPr>
      </w:pPr>
      <w:r>
        <w:rPr>
          <w:rFonts w:hint="eastAsia"/>
          <w:sz w:val="28"/>
          <w:szCs w:val="28"/>
        </w:rPr>
        <w:t>（3）采样深度</w:t>
      </w:r>
    </w:p>
    <w:p>
      <w:pPr>
        <w:adjustRightInd w:val="0"/>
        <w:snapToGrid w:val="0"/>
        <w:spacing w:line="360" w:lineRule="auto"/>
        <w:ind w:firstLine="560" w:firstLineChars="200"/>
        <w:rPr>
          <w:sz w:val="28"/>
          <w:szCs w:val="28"/>
        </w:rPr>
      </w:pPr>
      <w:r>
        <w:rPr>
          <w:rFonts w:hint="eastAsia"/>
          <w:sz w:val="28"/>
          <w:szCs w:val="28"/>
        </w:rPr>
        <w:t>土壤监测应以监测区域内表层土壤（0.2m处）为重点采样层，开展采样工作。</w:t>
      </w:r>
    </w:p>
    <w:p>
      <w:pPr>
        <w:adjustRightInd w:val="0"/>
        <w:snapToGrid w:val="0"/>
        <w:spacing w:line="360" w:lineRule="auto"/>
        <w:ind w:firstLine="560" w:firstLineChars="200"/>
        <w:rPr>
          <w:sz w:val="28"/>
          <w:szCs w:val="28"/>
        </w:rPr>
      </w:pPr>
      <w:r>
        <w:rPr>
          <w:rFonts w:hint="eastAsia"/>
          <w:sz w:val="28"/>
          <w:szCs w:val="28"/>
        </w:rPr>
        <w:t>2、土壤气监测</w:t>
      </w:r>
    </w:p>
    <w:p>
      <w:pPr>
        <w:adjustRightInd w:val="0"/>
        <w:snapToGrid w:val="0"/>
        <w:spacing w:line="360" w:lineRule="auto"/>
        <w:ind w:firstLine="560" w:firstLineChars="200"/>
        <w:rPr>
          <w:sz w:val="28"/>
          <w:szCs w:val="28"/>
        </w:rPr>
      </w:pPr>
      <w:r>
        <w:rPr>
          <w:rFonts w:hint="eastAsia"/>
          <w:sz w:val="28"/>
          <w:szCs w:val="28"/>
        </w:rPr>
        <w:t>特征污染物中存在挥发性有机物的重点区域或设施，应建设土壤气监测井并定期开展土壤气监测工作。</w:t>
      </w:r>
    </w:p>
    <w:p>
      <w:pPr>
        <w:adjustRightInd w:val="0"/>
        <w:snapToGrid w:val="0"/>
        <w:spacing w:line="360" w:lineRule="auto"/>
        <w:ind w:firstLine="560" w:firstLineChars="200"/>
        <w:rPr>
          <w:sz w:val="28"/>
          <w:szCs w:val="28"/>
        </w:rPr>
      </w:pPr>
      <w:r>
        <w:rPr>
          <w:rFonts w:hint="eastAsia"/>
          <w:sz w:val="28"/>
          <w:szCs w:val="28"/>
        </w:rPr>
        <w:t>（1）点位数量</w:t>
      </w:r>
    </w:p>
    <w:p>
      <w:pPr>
        <w:adjustRightInd w:val="0"/>
        <w:snapToGrid w:val="0"/>
        <w:spacing w:line="360" w:lineRule="auto"/>
        <w:ind w:firstLine="560" w:firstLineChars="200"/>
        <w:rPr>
          <w:sz w:val="28"/>
          <w:szCs w:val="28"/>
        </w:rPr>
      </w:pPr>
      <w:r>
        <w:rPr>
          <w:rFonts w:hint="eastAsia"/>
          <w:sz w:val="28"/>
          <w:szCs w:val="28"/>
        </w:rPr>
        <w:t>每个以挥发性有机物为特征污染物的重点区域或设施周边应布设至少1个土壤气监测点，具体数量应根据污染源所在区域大小进行适当调整。</w:t>
      </w:r>
    </w:p>
    <w:p>
      <w:pPr>
        <w:adjustRightInd w:val="0"/>
        <w:snapToGrid w:val="0"/>
        <w:spacing w:line="360" w:lineRule="auto"/>
        <w:ind w:firstLine="560" w:firstLineChars="200"/>
        <w:rPr>
          <w:sz w:val="28"/>
          <w:szCs w:val="28"/>
        </w:rPr>
      </w:pPr>
      <w:r>
        <w:rPr>
          <w:rFonts w:hint="eastAsia"/>
          <w:sz w:val="28"/>
          <w:szCs w:val="28"/>
        </w:rPr>
        <w:t>（2）点位位置</w:t>
      </w:r>
    </w:p>
    <w:p>
      <w:pPr>
        <w:adjustRightInd w:val="0"/>
        <w:snapToGrid w:val="0"/>
        <w:spacing w:line="360" w:lineRule="auto"/>
        <w:ind w:firstLine="560" w:firstLineChars="200"/>
        <w:rPr>
          <w:sz w:val="28"/>
          <w:szCs w:val="28"/>
        </w:rPr>
      </w:pPr>
      <w:r>
        <w:rPr>
          <w:rFonts w:hint="eastAsia"/>
          <w:sz w:val="28"/>
          <w:szCs w:val="28"/>
        </w:rPr>
        <w:t>采样点应在不影响企业正常生产且不造成安全隐患与二次污染的情况下尽可能接近污染源。</w:t>
      </w:r>
    </w:p>
    <w:p>
      <w:pPr>
        <w:adjustRightInd w:val="0"/>
        <w:snapToGrid w:val="0"/>
        <w:spacing w:line="360" w:lineRule="auto"/>
        <w:ind w:firstLine="560" w:firstLineChars="200"/>
        <w:rPr>
          <w:sz w:val="28"/>
          <w:szCs w:val="28"/>
        </w:rPr>
      </w:pPr>
      <w:r>
        <w:rPr>
          <w:rFonts w:hint="eastAsia"/>
          <w:sz w:val="28"/>
          <w:szCs w:val="28"/>
        </w:rPr>
        <w:t>（3）采样深度</w:t>
      </w:r>
    </w:p>
    <w:p>
      <w:pPr>
        <w:adjustRightInd w:val="0"/>
        <w:snapToGrid w:val="0"/>
        <w:spacing w:line="360" w:lineRule="auto"/>
        <w:ind w:firstLine="560" w:firstLineChars="200"/>
        <w:rPr>
          <w:sz w:val="28"/>
          <w:szCs w:val="28"/>
        </w:rPr>
      </w:pPr>
      <w:r>
        <w:rPr>
          <w:rFonts w:hint="eastAsia"/>
          <w:sz w:val="28"/>
          <w:szCs w:val="28"/>
        </w:rPr>
        <w:t>土壤气探头的埋设深度应结合地层特性及污染物埋深（仅限于已受到污染的区域）确定。应设置在但不仅限于：</w:t>
      </w:r>
    </w:p>
    <w:p>
      <w:pPr>
        <w:adjustRightInd w:val="0"/>
        <w:snapToGrid w:val="0"/>
        <w:spacing w:line="360" w:lineRule="auto"/>
        <w:ind w:firstLine="560" w:firstLineChars="200"/>
        <w:rPr>
          <w:sz w:val="28"/>
          <w:szCs w:val="28"/>
        </w:rPr>
      </w:pPr>
      <w:r>
        <w:rPr>
          <w:rFonts w:hint="eastAsia"/>
          <w:sz w:val="28"/>
          <w:szCs w:val="28"/>
        </w:rPr>
        <w:t>1）地面以下1.5 m处。</w:t>
      </w:r>
    </w:p>
    <w:p>
      <w:pPr>
        <w:adjustRightInd w:val="0"/>
        <w:snapToGrid w:val="0"/>
        <w:spacing w:line="360" w:lineRule="auto"/>
        <w:ind w:firstLine="560" w:firstLineChars="200"/>
        <w:rPr>
          <w:sz w:val="28"/>
          <w:szCs w:val="28"/>
        </w:rPr>
      </w:pPr>
      <w:r>
        <w:rPr>
          <w:rFonts w:hint="eastAsia"/>
          <w:sz w:val="28"/>
          <w:szCs w:val="28"/>
        </w:rPr>
        <w:t>2）钻探过程发现该区域已存在污染，且现场挥发性有机物便携检测设备读数或土壤和地下水样品检测结果较高的位置。</w:t>
      </w:r>
    </w:p>
    <w:p>
      <w:pPr>
        <w:adjustRightInd w:val="0"/>
        <w:snapToGrid w:val="0"/>
        <w:spacing w:line="360" w:lineRule="auto"/>
        <w:ind w:firstLine="560" w:firstLineChars="200"/>
        <w:rPr>
          <w:sz w:val="28"/>
          <w:szCs w:val="28"/>
        </w:rPr>
      </w:pPr>
      <w:r>
        <w:rPr>
          <w:rFonts w:hint="eastAsia"/>
          <w:sz w:val="28"/>
          <w:szCs w:val="28"/>
        </w:rPr>
        <w:t>3）埋藏于地下的罐槽、管线等设施周边。</w:t>
      </w:r>
    </w:p>
    <w:p>
      <w:pPr>
        <w:adjustRightInd w:val="0"/>
        <w:snapToGrid w:val="0"/>
        <w:spacing w:line="360" w:lineRule="auto"/>
        <w:ind w:firstLine="560" w:firstLineChars="200"/>
        <w:rPr>
          <w:sz w:val="28"/>
          <w:szCs w:val="28"/>
        </w:rPr>
      </w:pPr>
      <w:r>
        <w:rPr>
          <w:rFonts w:hint="eastAsia"/>
          <w:sz w:val="28"/>
          <w:szCs w:val="28"/>
        </w:rPr>
        <w:t>4）地下水最高水位面上，高于毛细带不小于1m。</w:t>
      </w:r>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41" w:name="_Toc532386768"/>
      <w:r>
        <w:rPr>
          <w:rFonts w:hint="eastAsia" w:ascii="Times New Roman" w:hAnsi="Times New Roman" w:cs="Times New Roman"/>
          <w:sz w:val="28"/>
          <w:szCs w:val="28"/>
        </w:rPr>
        <w:t>6.1.3地下水监测</w:t>
      </w:r>
      <w:bookmarkEnd w:id="41"/>
    </w:p>
    <w:p>
      <w:pPr>
        <w:adjustRightInd w:val="0"/>
        <w:snapToGrid w:val="0"/>
        <w:spacing w:line="360" w:lineRule="auto"/>
        <w:ind w:firstLine="560" w:firstLineChars="200"/>
        <w:rPr>
          <w:sz w:val="28"/>
          <w:szCs w:val="28"/>
        </w:rPr>
      </w:pPr>
      <w:r>
        <w:rPr>
          <w:rFonts w:hint="eastAsia"/>
          <w:sz w:val="28"/>
          <w:szCs w:val="28"/>
        </w:rPr>
        <w:t>1、点位数量</w:t>
      </w:r>
    </w:p>
    <w:p>
      <w:pPr>
        <w:adjustRightInd w:val="0"/>
        <w:snapToGrid w:val="0"/>
        <w:spacing w:line="360" w:lineRule="auto"/>
        <w:ind w:firstLine="560" w:firstLineChars="200"/>
        <w:rPr>
          <w:sz w:val="28"/>
          <w:szCs w:val="28"/>
        </w:rPr>
      </w:pPr>
      <w:r>
        <w:rPr>
          <w:rFonts w:hint="eastAsia"/>
          <w:sz w:val="28"/>
          <w:szCs w:val="28"/>
        </w:rPr>
        <w:t>每个重点区域或设施周边应布设至少1个地下水监测点，具体数量应根据待监测区域大小及污染物扩散途径等实际情况进行适当调整。</w:t>
      </w:r>
    </w:p>
    <w:p>
      <w:pPr>
        <w:adjustRightInd w:val="0"/>
        <w:snapToGrid w:val="0"/>
        <w:spacing w:line="360" w:lineRule="auto"/>
        <w:ind w:firstLine="560" w:firstLineChars="200"/>
        <w:rPr>
          <w:sz w:val="28"/>
          <w:szCs w:val="28"/>
        </w:rPr>
      </w:pPr>
      <w:r>
        <w:rPr>
          <w:rFonts w:hint="eastAsia"/>
          <w:sz w:val="28"/>
          <w:szCs w:val="28"/>
        </w:rPr>
        <w:t>2、点位位置</w:t>
      </w:r>
    </w:p>
    <w:p>
      <w:pPr>
        <w:adjustRightInd w:val="0"/>
        <w:snapToGrid w:val="0"/>
        <w:spacing w:line="360" w:lineRule="auto"/>
        <w:ind w:firstLine="560" w:firstLineChars="200"/>
        <w:rPr>
          <w:sz w:val="28"/>
          <w:szCs w:val="28"/>
        </w:rPr>
      </w:pPr>
      <w:r>
        <w:rPr>
          <w:rFonts w:hint="eastAsia"/>
          <w:sz w:val="28"/>
          <w:szCs w:val="28"/>
        </w:rPr>
        <w:t>地下水监测井应布设在污染物迁移的下游方向。</w:t>
      </w:r>
    </w:p>
    <w:p>
      <w:pPr>
        <w:adjustRightInd w:val="0"/>
        <w:snapToGrid w:val="0"/>
        <w:spacing w:line="360" w:lineRule="auto"/>
        <w:ind w:firstLine="560" w:firstLineChars="200"/>
        <w:rPr>
          <w:sz w:val="28"/>
          <w:szCs w:val="28"/>
        </w:rPr>
      </w:pPr>
      <w:r>
        <w:rPr>
          <w:rFonts w:hint="eastAsia"/>
          <w:sz w:val="28"/>
          <w:szCs w:val="28"/>
        </w:rPr>
        <w:t>地下水的流向可能会随着季节、潮汐、河流和湖泊的水位波动等状况改变。此时应将监测井布设在污染物所有潜在迁移途径的下游。</w:t>
      </w:r>
    </w:p>
    <w:p>
      <w:pPr>
        <w:adjustRightInd w:val="0"/>
        <w:snapToGrid w:val="0"/>
        <w:spacing w:line="360" w:lineRule="auto"/>
        <w:ind w:firstLine="560" w:firstLineChars="200"/>
        <w:rPr>
          <w:sz w:val="28"/>
          <w:szCs w:val="28"/>
        </w:rPr>
      </w:pPr>
      <w:r>
        <w:rPr>
          <w:rFonts w:hint="eastAsia"/>
          <w:sz w:val="28"/>
          <w:szCs w:val="28"/>
        </w:rPr>
        <w:t>在同一个企业内部，监测井可以根据厂房及设施分布的情况统筹规划。处于同一污染物迁移途径上的相邻区域或设施可合并监测。</w:t>
      </w:r>
    </w:p>
    <w:p>
      <w:pPr>
        <w:adjustRightInd w:val="0"/>
        <w:snapToGrid w:val="0"/>
        <w:spacing w:line="360" w:lineRule="auto"/>
        <w:ind w:firstLine="560" w:firstLineChars="200"/>
        <w:rPr>
          <w:sz w:val="28"/>
          <w:szCs w:val="28"/>
        </w:rPr>
      </w:pPr>
      <w:r>
        <w:rPr>
          <w:rFonts w:hint="eastAsia"/>
          <w:sz w:val="28"/>
          <w:szCs w:val="28"/>
        </w:rPr>
        <w:t>以下情况不适宜合并监测：</w:t>
      </w:r>
    </w:p>
    <w:p>
      <w:pPr>
        <w:adjustRightInd w:val="0"/>
        <w:snapToGrid w:val="0"/>
        <w:spacing w:line="360" w:lineRule="auto"/>
        <w:ind w:firstLine="560" w:firstLineChars="200"/>
        <w:rPr>
          <w:sz w:val="28"/>
          <w:szCs w:val="28"/>
        </w:rPr>
      </w:pPr>
      <w:r>
        <w:rPr>
          <w:rFonts w:hint="eastAsia"/>
          <w:sz w:val="28"/>
          <w:szCs w:val="28"/>
        </w:rPr>
        <w:t>1）处于同一污染物迁移途径上但相隔较远的区域或设施。</w:t>
      </w:r>
    </w:p>
    <w:p>
      <w:pPr>
        <w:adjustRightInd w:val="0"/>
        <w:snapToGrid w:val="0"/>
        <w:spacing w:line="360" w:lineRule="auto"/>
        <w:ind w:firstLine="560" w:firstLineChars="200"/>
        <w:rPr>
          <w:sz w:val="28"/>
          <w:szCs w:val="28"/>
        </w:rPr>
      </w:pPr>
      <w:r>
        <w:rPr>
          <w:rFonts w:hint="eastAsia"/>
          <w:sz w:val="28"/>
          <w:szCs w:val="28"/>
        </w:rPr>
        <w:t>2）相邻但污染物迁移途径不同的区域或设施。</w:t>
      </w:r>
    </w:p>
    <w:p>
      <w:pPr>
        <w:adjustRightInd w:val="0"/>
        <w:snapToGrid w:val="0"/>
        <w:spacing w:line="360" w:lineRule="auto"/>
        <w:ind w:firstLine="560" w:firstLineChars="200"/>
        <w:rPr>
          <w:sz w:val="28"/>
          <w:szCs w:val="28"/>
        </w:rPr>
      </w:pPr>
      <w:r>
        <w:rPr>
          <w:rFonts w:hint="eastAsia"/>
          <w:sz w:val="28"/>
          <w:szCs w:val="28"/>
        </w:rPr>
        <w:t>3、采样深度</w:t>
      </w:r>
    </w:p>
    <w:p>
      <w:pPr>
        <w:adjustRightInd w:val="0"/>
        <w:snapToGrid w:val="0"/>
        <w:spacing w:line="360" w:lineRule="auto"/>
        <w:ind w:firstLine="560" w:firstLineChars="200"/>
        <w:rPr>
          <w:sz w:val="28"/>
          <w:szCs w:val="28"/>
        </w:rPr>
      </w:pPr>
      <w:r>
        <w:rPr>
          <w:rFonts w:hint="eastAsia"/>
          <w:sz w:val="28"/>
          <w:szCs w:val="28"/>
        </w:rPr>
        <w:t>监测井在垂直方向的深度应根据污染物性质、含水层厚度以及地层情况确定。</w:t>
      </w:r>
    </w:p>
    <w:p>
      <w:pPr>
        <w:adjustRightInd w:val="0"/>
        <w:snapToGrid w:val="0"/>
        <w:spacing w:line="360" w:lineRule="auto"/>
        <w:ind w:firstLine="560" w:firstLineChars="200"/>
        <w:rPr>
          <w:sz w:val="28"/>
          <w:szCs w:val="28"/>
        </w:rPr>
      </w:pPr>
      <w:r>
        <w:rPr>
          <w:rFonts w:hint="eastAsia"/>
          <w:sz w:val="28"/>
          <w:szCs w:val="28"/>
        </w:rPr>
        <w:t>（1）污染物性质</w:t>
      </w:r>
    </w:p>
    <w:p>
      <w:pPr>
        <w:adjustRightInd w:val="0"/>
        <w:snapToGrid w:val="0"/>
        <w:spacing w:line="360" w:lineRule="auto"/>
        <w:ind w:firstLine="560" w:firstLineChars="200"/>
        <w:rPr>
          <w:sz w:val="28"/>
          <w:szCs w:val="28"/>
        </w:rPr>
      </w:pPr>
      <w:r>
        <w:rPr>
          <w:rFonts w:hint="eastAsia"/>
          <w:sz w:val="28"/>
          <w:szCs w:val="28"/>
        </w:rPr>
        <w:t>当重点区域或设施的特征污染物为低密度污染物时，监测井进水口应穿过潜水面以保证能够采集到含水层顶部水样，如图2-3(A)。</w:t>
      </w:r>
    </w:p>
    <w:p>
      <w:pPr>
        <w:adjustRightInd w:val="0"/>
        <w:snapToGrid w:val="0"/>
        <w:spacing w:line="360" w:lineRule="auto"/>
        <w:ind w:firstLine="560" w:firstLineChars="200"/>
        <w:rPr>
          <w:sz w:val="28"/>
          <w:szCs w:val="28"/>
        </w:rPr>
      </w:pPr>
      <w:r>
        <w:rPr>
          <w:rFonts w:hint="eastAsia"/>
          <w:sz w:val="28"/>
          <w:szCs w:val="28"/>
        </w:rPr>
        <w:t>当重点区域或设施的特征污染物为高密度污染物时，监测井进水口应设在隔水层之上，含水层的底部或者附近，如图2-3(B)。</w:t>
      </w:r>
    </w:p>
    <w:p>
      <w:pPr>
        <w:adjustRightInd w:val="0"/>
        <w:snapToGrid w:val="0"/>
        <w:spacing w:line="360" w:lineRule="auto"/>
        <w:ind w:firstLine="560" w:firstLineChars="200"/>
        <w:rPr>
          <w:sz w:val="28"/>
          <w:szCs w:val="28"/>
        </w:rPr>
      </w:pPr>
      <w:r>
        <w:rPr>
          <w:rFonts w:hint="eastAsia"/>
          <w:sz w:val="28"/>
          <w:szCs w:val="28"/>
        </w:rPr>
        <w:t>如果低密度和高密度污染物同时存在，则设置监测井时应考虑在不同深度采样的需求。</w:t>
      </w:r>
    </w:p>
    <w:p>
      <w:pPr>
        <w:adjustRightInd w:val="0"/>
        <w:snapToGrid w:val="0"/>
        <w:spacing w:line="360" w:lineRule="auto"/>
        <w:rPr>
          <w:sz w:val="24"/>
        </w:rPr>
      </w:pPr>
      <w:r>
        <w:rPr>
          <w:sz w:val="24"/>
        </w:rPr>
        <w:drawing>
          <wp:inline distT="0" distB="0" distL="114300" distR="114300">
            <wp:extent cx="5549900" cy="1849755"/>
            <wp:effectExtent l="0" t="0" r="12700" b="1714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9" cstate="print"/>
                    <a:stretch>
                      <a:fillRect/>
                    </a:stretch>
                  </pic:blipFill>
                  <pic:spPr>
                    <a:xfrm>
                      <a:off x="0" y="0"/>
                      <a:ext cx="5549900" cy="1849755"/>
                    </a:xfrm>
                    <a:prstGeom prst="rect">
                      <a:avLst/>
                    </a:prstGeom>
                    <a:noFill/>
                    <a:ln w="9525">
                      <a:noFill/>
                    </a:ln>
                  </pic:spPr>
                </pic:pic>
              </a:graphicData>
            </a:graphic>
          </wp:inline>
        </w:drawing>
      </w:r>
    </w:p>
    <w:p>
      <w:pPr>
        <w:adjustRightInd w:val="0"/>
        <w:snapToGrid w:val="0"/>
        <w:spacing w:line="360" w:lineRule="auto"/>
        <w:ind w:firstLine="482" w:firstLineChars="200"/>
        <w:jc w:val="center"/>
        <w:rPr>
          <w:b/>
          <w:sz w:val="24"/>
        </w:rPr>
      </w:pPr>
      <w:r>
        <w:rPr>
          <w:rFonts w:hint="eastAsia"/>
          <w:b/>
          <w:sz w:val="24"/>
        </w:rPr>
        <w:t>图6-1  基于污染物性质的监测井布设方法示例</w:t>
      </w:r>
    </w:p>
    <w:p>
      <w:pPr>
        <w:adjustRightInd w:val="0"/>
        <w:snapToGrid w:val="0"/>
        <w:spacing w:line="360" w:lineRule="auto"/>
        <w:ind w:firstLine="560" w:firstLineChars="200"/>
        <w:rPr>
          <w:sz w:val="28"/>
          <w:szCs w:val="28"/>
        </w:rPr>
      </w:pPr>
      <w:r>
        <w:rPr>
          <w:rFonts w:hint="eastAsia"/>
          <w:sz w:val="28"/>
          <w:szCs w:val="28"/>
        </w:rPr>
        <w:t>（2）含水层厚度</w:t>
      </w:r>
    </w:p>
    <w:p>
      <w:pPr>
        <w:adjustRightInd w:val="0"/>
        <w:snapToGrid w:val="0"/>
        <w:spacing w:line="360" w:lineRule="auto"/>
        <w:ind w:firstLine="560" w:firstLineChars="200"/>
        <w:rPr>
          <w:sz w:val="28"/>
          <w:szCs w:val="28"/>
        </w:rPr>
      </w:pPr>
      <w:r>
        <w:rPr>
          <w:rFonts w:hint="eastAsia"/>
          <w:sz w:val="28"/>
          <w:szCs w:val="28"/>
        </w:rPr>
        <w:t>对于厚度小于3 m的含水层，可不分层采样；对于厚度大于3 m的含水层，原则上应分上中下三层进行采样。</w:t>
      </w:r>
    </w:p>
    <w:p>
      <w:pPr>
        <w:adjustRightInd w:val="0"/>
        <w:snapToGrid w:val="0"/>
        <w:spacing w:line="360" w:lineRule="auto"/>
        <w:ind w:firstLine="560" w:firstLineChars="200"/>
        <w:rPr>
          <w:sz w:val="28"/>
          <w:szCs w:val="28"/>
        </w:rPr>
      </w:pPr>
      <w:r>
        <w:rPr>
          <w:rFonts w:hint="eastAsia"/>
          <w:sz w:val="28"/>
          <w:szCs w:val="28"/>
        </w:rPr>
        <w:t>（3）地层情况</w:t>
      </w:r>
    </w:p>
    <w:p>
      <w:pPr>
        <w:adjustRightInd w:val="0"/>
        <w:snapToGrid w:val="0"/>
        <w:spacing w:line="360" w:lineRule="auto"/>
        <w:ind w:firstLine="560" w:firstLineChars="200"/>
        <w:rPr>
          <w:sz w:val="28"/>
          <w:szCs w:val="28"/>
        </w:rPr>
      </w:pPr>
      <w:r>
        <w:rPr>
          <w:rFonts w:hint="eastAsia"/>
          <w:sz w:val="28"/>
          <w:szCs w:val="28"/>
        </w:rPr>
        <w:t>地下水监测以调查第一含水层（潜水）为主。但在重点区域或设施识别过程中认为有可能对多个含水层产生污染的情况下，应对所有可能受到污染的含水层进行监测。有可能对多个含水层产生污染的情况常见于但不仅限于：</w:t>
      </w:r>
    </w:p>
    <w:p>
      <w:pPr>
        <w:adjustRightInd w:val="0"/>
        <w:snapToGrid w:val="0"/>
        <w:spacing w:line="360" w:lineRule="auto"/>
        <w:ind w:firstLine="560" w:firstLineChars="200"/>
        <w:rPr>
          <w:sz w:val="28"/>
          <w:szCs w:val="28"/>
        </w:rPr>
      </w:pPr>
      <w:r>
        <w:rPr>
          <w:rFonts w:hint="eastAsia"/>
          <w:sz w:val="28"/>
          <w:szCs w:val="28"/>
        </w:rPr>
        <w:t>1）第一含水层的水量不足以开展地下水监测。</w:t>
      </w:r>
    </w:p>
    <w:p>
      <w:pPr>
        <w:adjustRightInd w:val="0"/>
        <w:snapToGrid w:val="0"/>
        <w:spacing w:line="360" w:lineRule="auto"/>
        <w:ind w:firstLine="560" w:firstLineChars="200"/>
        <w:rPr>
          <w:sz w:val="28"/>
          <w:szCs w:val="28"/>
        </w:rPr>
      </w:pPr>
      <w:r>
        <w:rPr>
          <w:rFonts w:hint="eastAsia"/>
          <w:sz w:val="28"/>
          <w:szCs w:val="28"/>
        </w:rPr>
        <w:t>2）第一含水层与下部含水层之间的隔水层厚度较薄或已被穿透。（如图2-4 A所示）</w:t>
      </w:r>
    </w:p>
    <w:p>
      <w:pPr>
        <w:adjustRightInd w:val="0"/>
        <w:snapToGrid w:val="0"/>
        <w:spacing w:line="360" w:lineRule="auto"/>
        <w:ind w:firstLine="560" w:firstLineChars="200"/>
        <w:rPr>
          <w:sz w:val="28"/>
          <w:szCs w:val="28"/>
        </w:rPr>
      </w:pPr>
      <w:r>
        <w:rPr>
          <w:rFonts w:hint="eastAsia"/>
          <w:sz w:val="28"/>
          <w:szCs w:val="28"/>
        </w:rPr>
        <w:t>3）有埋藏深度达到了下部含水层的地下罐槽、管线等设施。</w:t>
      </w:r>
    </w:p>
    <w:p>
      <w:pPr>
        <w:adjustRightInd w:val="0"/>
        <w:snapToGrid w:val="0"/>
        <w:spacing w:line="360" w:lineRule="auto"/>
        <w:ind w:firstLine="560" w:firstLineChars="200"/>
        <w:rPr>
          <w:sz w:val="28"/>
          <w:szCs w:val="28"/>
        </w:rPr>
      </w:pPr>
      <w:r>
        <w:rPr>
          <w:rFonts w:hint="eastAsia"/>
          <w:sz w:val="28"/>
          <w:szCs w:val="28"/>
        </w:rPr>
        <w:t>4）第一含水层与下部含水层之间的隔水层不连续。（如图2-4 B所示）</w:t>
      </w:r>
    </w:p>
    <w:p>
      <w:pPr>
        <w:adjustRightInd w:val="0"/>
        <w:snapToGrid w:val="0"/>
        <w:spacing w:line="360" w:lineRule="auto"/>
        <w:jc w:val="center"/>
        <w:rPr>
          <w:sz w:val="24"/>
        </w:rPr>
      </w:pPr>
      <w:r>
        <w:rPr>
          <w:sz w:val="24"/>
        </w:rPr>
        <w:drawing>
          <wp:inline distT="0" distB="0" distL="114300" distR="114300">
            <wp:extent cx="4997450" cy="1722755"/>
            <wp:effectExtent l="0" t="0" r="12700"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50" cstate="print"/>
                    <a:stretch>
                      <a:fillRect/>
                    </a:stretch>
                  </pic:blipFill>
                  <pic:spPr>
                    <a:xfrm>
                      <a:off x="0" y="0"/>
                      <a:ext cx="4997450" cy="1722755"/>
                    </a:xfrm>
                    <a:prstGeom prst="rect">
                      <a:avLst/>
                    </a:prstGeom>
                    <a:noFill/>
                    <a:ln w="9525">
                      <a:noFill/>
                    </a:ln>
                  </pic:spPr>
                </pic:pic>
              </a:graphicData>
            </a:graphic>
          </wp:inline>
        </w:drawing>
      </w:r>
    </w:p>
    <w:p>
      <w:pPr>
        <w:adjustRightInd w:val="0"/>
        <w:snapToGrid w:val="0"/>
        <w:spacing w:line="360" w:lineRule="auto"/>
        <w:jc w:val="center"/>
        <w:rPr>
          <w:b/>
          <w:sz w:val="24"/>
        </w:rPr>
      </w:pPr>
      <w:r>
        <w:rPr>
          <w:rFonts w:hint="eastAsia"/>
          <w:b/>
          <w:sz w:val="24"/>
        </w:rPr>
        <w:t>图6-2浅层地下水与下部含水层之间关系</w:t>
      </w:r>
    </w:p>
    <w:p>
      <w:pPr>
        <w:adjustRightInd w:val="0"/>
        <w:snapToGrid w:val="0"/>
        <w:spacing w:line="360" w:lineRule="auto"/>
        <w:ind w:firstLine="560" w:firstLineChars="200"/>
        <w:rPr>
          <w:sz w:val="28"/>
          <w:szCs w:val="28"/>
        </w:rPr>
      </w:pPr>
      <w:r>
        <w:rPr>
          <w:rFonts w:hint="eastAsia"/>
          <w:sz w:val="28"/>
          <w:szCs w:val="28"/>
        </w:rPr>
        <w:t>地下水监测井的深度还应充分考虑季节性的水位波动设置。</w:t>
      </w:r>
    </w:p>
    <w:p>
      <w:pPr>
        <w:adjustRightInd w:val="0"/>
        <w:snapToGrid w:val="0"/>
        <w:spacing w:line="360" w:lineRule="auto"/>
        <w:ind w:firstLine="560" w:firstLineChars="200"/>
        <w:rPr>
          <w:sz w:val="28"/>
          <w:szCs w:val="28"/>
        </w:rPr>
      </w:pPr>
      <w:r>
        <w:rPr>
          <w:rFonts w:hint="eastAsia"/>
          <w:sz w:val="28"/>
          <w:szCs w:val="28"/>
        </w:rPr>
        <w:t>企业或邻近区域内现有的地下水监测井，如果符合本指南要求，可以作为地下水监测点。</w:t>
      </w:r>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42" w:name="_Toc532386769"/>
      <w:r>
        <w:rPr>
          <w:rFonts w:hint="eastAsia" w:ascii="Times New Roman" w:hAnsi="Times New Roman" w:cs="Times New Roman"/>
          <w:sz w:val="28"/>
          <w:szCs w:val="28"/>
        </w:rPr>
        <w:t>6.1.4监测频率</w:t>
      </w:r>
      <w:bookmarkEnd w:id="42"/>
    </w:p>
    <w:p>
      <w:pPr>
        <w:adjustRightInd w:val="0"/>
        <w:snapToGrid w:val="0"/>
        <w:spacing w:line="360" w:lineRule="auto"/>
        <w:ind w:firstLine="560" w:firstLineChars="200"/>
        <w:rPr>
          <w:sz w:val="28"/>
          <w:szCs w:val="28"/>
        </w:rPr>
      </w:pPr>
      <w:r>
        <w:rPr>
          <w:rFonts w:hint="eastAsia"/>
          <w:sz w:val="28"/>
          <w:szCs w:val="28"/>
        </w:rPr>
        <w:t>土壤环境重点监管企业每年至少开展一次土壤一般监测、土壤气监测和地下水监测。</w:t>
      </w:r>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43" w:name="_Toc532386770"/>
      <w:r>
        <w:rPr>
          <w:rFonts w:hint="eastAsia" w:ascii="Times New Roman" w:hAnsi="Times New Roman" w:cs="Times New Roman"/>
          <w:sz w:val="28"/>
          <w:szCs w:val="28"/>
        </w:rPr>
        <w:t>6.1.5监测点位及项目</w:t>
      </w:r>
      <w:bookmarkEnd w:id="43"/>
    </w:p>
    <w:p>
      <w:pPr>
        <w:adjustRightInd w:val="0"/>
        <w:snapToGrid w:val="0"/>
        <w:spacing w:line="360" w:lineRule="auto"/>
        <w:ind w:firstLine="560" w:firstLineChars="200"/>
        <w:rPr>
          <w:sz w:val="28"/>
          <w:szCs w:val="28"/>
        </w:rPr>
      </w:pPr>
      <w:r>
        <w:rPr>
          <w:rFonts w:hint="eastAsia"/>
          <w:sz w:val="28"/>
          <w:szCs w:val="28"/>
        </w:rPr>
        <w:t>1、土壤</w:t>
      </w:r>
    </w:p>
    <w:p>
      <w:pPr>
        <w:adjustRightInd w:val="0"/>
        <w:snapToGrid w:val="0"/>
        <w:spacing w:line="360" w:lineRule="auto"/>
        <w:ind w:firstLine="560" w:firstLineChars="200"/>
        <w:rPr>
          <w:sz w:val="28"/>
          <w:szCs w:val="28"/>
        </w:rPr>
      </w:pPr>
      <w:r>
        <w:rPr>
          <w:sz w:val="28"/>
          <w:szCs w:val="28"/>
        </w:rPr>
        <w:t>本项目场地面积约</w:t>
      </w:r>
      <w:r>
        <w:rPr>
          <w:rFonts w:hint="eastAsia"/>
          <w:sz w:val="28"/>
          <w:szCs w:val="28"/>
        </w:rPr>
        <w:t>1500m</w:t>
      </w:r>
      <w:r>
        <w:rPr>
          <w:rFonts w:hint="eastAsia"/>
          <w:sz w:val="28"/>
          <w:szCs w:val="28"/>
          <w:vertAlign w:val="superscript"/>
        </w:rPr>
        <w:t>2</w:t>
      </w:r>
      <w:r>
        <w:rPr>
          <w:rFonts w:hint="eastAsia"/>
          <w:sz w:val="28"/>
          <w:szCs w:val="28"/>
        </w:rPr>
        <w:t>，</w:t>
      </w:r>
      <w:r>
        <w:rPr>
          <w:sz w:val="28"/>
          <w:szCs w:val="28"/>
        </w:rPr>
        <w:t>根据前述土壤监测布点原则及方法，结合</w:t>
      </w:r>
      <w:r>
        <w:rPr>
          <w:rFonts w:hint="eastAsia"/>
          <w:sz w:val="28"/>
          <w:szCs w:val="28"/>
        </w:rPr>
        <w:t>前期</w:t>
      </w:r>
      <w:r>
        <w:rPr>
          <w:sz w:val="28"/>
          <w:szCs w:val="28"/>
        </w:rPr>
        <w:t>调查分析的结果，</w:t>
      </w:r>
      <w:r>
        <w:rPr>
          <w:rFonts w:hint="eastAsia"/>
          <w:sz w:val="28"/>
          <w:szCs w:val="28"/>
        </w:rPr>
        <w:t>确认监测点避开了地下构筑物、不影响正常生产、不存在安全隐患、具备采样条件的前提下，在宏昇药业</w:t>
      </w:r>
      <w:r>
        <w:rPr>
          <w:sz w:val="28"/>
          <w:szCs w:val="28"/>
        </w:rPr>
        <w:t>在厂区内布设土壤监测点</w:t>
      </w:r>
      <w:r>
        <w:rPr>
          <w:rFonts w:hint="eastAsia"/>
          <w:sz w:val="28"/>
          <w:szCs w:val="28"/>
        </w:rPr>
        <w:t>4个（包括场内背景1个）</w:t>
      </w:r>
      <w:r>
        <w:rPr>
          <w:sz w:val="28"/>
          <w:szCs w:val="28"/>
        </w:rPr>
        <w:t>，并根据可能的污染因子分析选择相应的监测因子，</w:t>
      </w:r>
      <w:r>
        <w:rPr>
          <w:rFonts w:hint="eastAsia"/>
          <w:sz w:val="28"/>
          <w:szCs w:val="28"/>
        </w:rPr>
        <w:t>原则上每个重点区域或设施应监测的污染物项目不少于2项。</w:t>
      </w:r>
    </w:p>
    <w:p>
      <w:pPr>
        <w:spacing w:beforeLines="20"/>
        <w:jc w:val="center"/>
        <w:rPr>
          <w:b/>
          <w:sz w:val="24"/>
        </w:rPr>
      </w:pPr>
    </w:p>
    <w:p>
      <w:pPr>
        <w:spacing w:beforeLines="20"/>
        <w:jc w:val="center"/>
        <w:rPr>
          <w:b/>
          <w:sz w:val="24"/>
        </w:rPr>
      </w:pPr>
    </w:p>
    <w:p>
      <w:pPr>
        <w:spacing w:beforeLines="20"/>
        <w:jc w:val="center"/>
        <w:rPr>
          <w:b/>
          <w:sz w:val="24"/>
        </w:rPr>
      </w:pPr>
    </w:p>
    <w:p>
      <w:pPr>
        <w:spacing w:beforeLines="20"/>
        <w:jc w:val="center"/>
        <w:rPr>
          <w:b/>
          <w:sz w:val="24"/>
        </w:rPr>
      </w:pPr>
      <w:r>
        <w:rPr>
          <w:b/>
          <w:sz w:val="24"/>
        </w:rPr>
        <w:t>表</w:t>
      </w:r>
      <w:r>
        <w:rPr>
          <w:rFonts w:hint="eastAsia"/>
          <w:b/>
          <w:sz w:val="24"/>
        </w:rPr>
        <w:t xml:space="preserve">6-1 </w:t>
      </w:r>
      <w:r>
        <w:rPr>
          <w:b/>
          <w:sz w:val="24"/>
        </w:rPr>
        <w:t>土壤</w:t>
      </w:r>
      <w:r>
        <w:rPr>
          <w:rFonts w:hint="eastAsia"/>
          <w:b/>
          <w:sz w:val="24"/>
        </w:rPr>
        <w:t>监测</w:t>
      </w:r>
      <w:r>
        <w:rPr>
          <w:b/>
          <w:sz w:val="24"/>
        </w:rPr>
        <w:t>点位及深度一览表</w:t>
      </w:r>
    </w:p>
    <w:tbl>
      <w:tblPr>
        <w:tblStyle w:val="19"/>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307"/>
        <w:gridCol w:w="3834"/>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blHeader/>
          <w:jc w:val="center"/>
        </w:trPr>
        <w:tc>
          <w:tcPr>
            <w:tcW w:w="1211" w:type="dxa"/>
            <w:vAlign w:val="center"/>
          </w:tcPr>
          <w:p>
            <w:pPr>
              <w:jc w:val="center"/>
              <w:rPr>
                <w:sz w:val="24"/>
              </w:rPr>
            </w:pPr>
            <w:r>
              <w:rPr>
                <w:sz w:val="24"/>
              </w:rPr>
              <w:t>编号</w:t>
            </w:r>
          </w:p>
        </w:tc>
        <w:tc>
          <w:tcPr>
            <w:tcW w:w="2307" w:type="dxa"/>
            <w:vAlign w:val="center"/>
          </w:tcPr>
          <w:p>
            <w:pPr>
              <w:jc w:val="center"/>
              <w:rPr>
                <w:sz w:val="24"/>
              </w:rPr>
            </w:pPr>
            <w:r>
              <w:rPr>
                <w:rFonts w:hint="eastAsia"/>
                <w:sz w:val="24"/>
              </w:rPr>
              <w:t>监测</w:t>
            </w:r>
            <w:r>
              <w:rPr>
                <w:sz w:val="24"/>
              </w:rPr>
              <w:t>点位置描述</w:t>
            </w:r>
          </w:p>
        </w:tc>
        <w:tc>
          <w:tcPr>
            <w:tcW w:w="3834" w:type="dxa"/>
            <w:vAlign w:val="center"/>
          </w:tcPr>
          <w:p>
            <w:pPr>
              <w:jc w:val="center"/>
              <w:rPr>
                <w:sz w:val="24"/>
              </w:rPr>
            </w:pPr>
            <w:r>
              <w:rPr>
                <w:sz w:val="24"/>
              </w:rPr>
              <w:t>监测项目</w:t>
            </w:r>
          </w:p>
        </w:tc>
        <w:tc>
          <w:tcPr>
            <w:tcW w:w="2112" w:type="dxa"/>
            <w:vAlign w:val="center"/>
          </w:tcPr>
          <w:p>
            <w:pPr>
              <w:jc w:val="center"/>
              <w:rPr>
                <w:sz w:val="24"/>
              </w:rPr>
            </w:pPr>
            <w:r>
              <w:rPr>
                <w:sz w:val="24"/>
              </w:rPr>
              <w:t>采样深度（m）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11" w:type="dxa"/>
            <w:vAlign w:val="center"/>
          </w:tcPr>
          <w:p>
            <w:pPr>
              <w:jc w:val="center"/>
              <w:rPr>
                <w:sz w:val="24"/>
              </w:rPr>
            </w:pPr>
            <w:r>
              <w:rPr>
                <w:sz w:val="24"/>
              </w:rPr>
              <w:t>HT-1</w:t>
            </w:r>
          </w:p>
        </w:tc>
        <w:tc>
          <w:tcPr>
            <w:tcW w:w="2307" w:type="dxa"/>
            <w:vAlign w:val="center"/>
          </w:tcPr>
          <w:p>
            <w:pPr>
              <w:autoSpaceDE w:val="0"/>
              <w:autoSpaceDN w:val="0"/>
              <w:adjustRightInd w:val="0"/>
              <w:snapToGrid w:val="0"/>
              <w:jc w:val="center"/>
              <w:rPr>
                <w:sz w:val="24"/>
              </w:rPr>
            </w:pPr>
            <w:r>
              <w:rPr>
                <w:rFonts w:hint="eastAsia" w:hAnsi="宋体"/>
                <w:sz w:val="24"/>
              </w:rPr>
              <w:t>七车间</w:t>
            </w:r>
          </w:p>
        </w:tc>
        <w:tc>
          <w:tcPr>
            <w:tcW w:w="3834" w:type="dxa"/>
            <w:vAlign w:val="center"/>
          </w:tcPr>
          <w:p>
            <w:pPr>
              <w:jc w:val="center"/>
              <w:rPr>
                <w:sz w:val="24"/>
              </w:rPr>
            </w:pPr>
            <w:r>
              <w:rPr>
                <w:rFonts w:hint="eastAsia"/>
                <w:sz w:val="24"/>
              </w:rPr>
              <w:t>PH、镉、六价铬、汞、砷、铅、氟化物、甲苯、二甲苯、二氯甲烷、二氯乙烷、氯仿、甲醇、乙醇、石油烃</w:t>
            </w:r>
          </w:p>
        </w:tc>
        <w:tc>
          <w:tcPr>
            <w:tcW w:w="2112" w:type="dxa"/>
            <w:vAlign w:val="center"/>
          </w:tcPr>
          <w:p>
            <w:pPr>
              <w:jc w:val="center"/>
              <w:rPr>
                <w:sz w:val="24"/>
              </w:rPr>
            </w:pPr>
            <w:r>
              <w:rPr>
                <w:rFonts w:hint="eastAsia"/>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11" w:type="dxa"/>
            <w:vAlign w:val="center"/>
          </w:tcPr>
          <w:p>
            <w:pPr>
              <w:jc w:val="center"/>
              <w:rPr>
                <w:sz w:val="24"/>
              </w:rPr>
            </w:pPr>
            <w:r>
              <w:rPr>
                <w:rFonts w:hint="eastAsia"/>
                <w:sz w:val="24"/>
              </w:rPr>
              <w:t>H</w:t>
            </w:r>
            <w:r>
              <w:rPr>
                <w:sz w:val="24"/>
              </w:rPr>
              <w:t>T-</w:t>
            </w:r>
            <w:r>
              <w:rPr>
                <w:rFonts w:hint="eastAsia"/>
                <w:sz w:val="24"/>
              </w:rPr>
              <w:t>2</w:t>
            </w:r>
          </w:p>
        </w:tc>
        <w:tc>
          <w:tcPr>
            <w:tcW w:w="2307" w:type="dxa"/>
            <w:vAlign w:val="center"/>
          </w:tcPr>
          <w:p>
            <w:pPr>
              <w:autoSpaceDE w:val="0"/>
              <w:autoSpaceDN w:val="0"/>
              <w:adjustRightInd w:val="0"/>
              <w:snapToGrid w:val="0"/>
              <w:jc w:val="center"/>
              <w:rPr>
                <w:rFonts w:hAnsi="宋体"/>
                <w:sz w:val="24"/>
              </w:rPr>
            </w:pPr>
            <w:r>
              <w:rPr>
                <w:rFonts w:hint="eastAsia" w:hAnsi="宋体"/>
                <w:sz w:val="24"/>
              </w:rPr>
              <w:t>医药</w:t>
            </w:r>
            <w:r>
              <w:rPr>
                <w:rFonts w:hAnsi="宋体"/>
                <w:sz w:val="24"/>
              </w:rPr>
              <w:t>中间体车间</w:t>
            </w:r>
          </w:p>
          <w:p>
            <w:pPr>
              <w:autoSpaceDE w:val="0"/>
              <w:autoSpaceDN w:val="0"/>
              <w:adjustRightInd w:val="0"/>
              <w:snapToGrid w:val="0"/>
              <w:jc w:val="center"/>
              <w:rPr>
                <w:sz w:val="24"/>
              </w:rPr>
            </w:pPr>
            <w:r>
              <w:rPr>
                <w:rFonts w:hint="eastAsia" w:hAnsi="宋体"/>
                <w:sz w:val="24"/>
              </w:rPr>
              <w:t>（一、二、三车间）</w:t>
            </w:r>
          </w:p>
        </w:tc>
        <w:tc>
          <w:tcPr>
            <w:tcW w:w="3834" w:type="dxa"/>
            <w:vAlign w:val="center"/>
          </w:tcPr>
          <w:p>
            <w:pPr>
              <w:jc w:val="center"/>
              <w:rPr>
                <w:sz w:val="24"/>
              </w:rPr>
            </w:pPr>
            <w:r>
              <w:rPr>
                <w:rFonts w:hint="eastAsia"/>
                <w:sz w:val="24"/>
              </w:rPr>
              <w:t>PH、镉、六价铬、汞、砷、铅、氟化物、甲苯、二甲苯、二氯甲烷、二氯乙烷、氯仿、甲醇、乙醇、石油烃</w:t>
            </w:r>
          </w:p>
        </w:tc>
        <w:tc>
          <w:tcPr>
            <w:tcW w:w="2112" w:type="dxa"/>
            <w:vAlign w:val="center"/>
          </w:tcPr>
          <w:p>
            <w:pPr>
              <w:jc w:val="center"/>
              <w:rPr>
                <w:sz w:val="24"/>
              </w:rPr>
            </w:pPr>
            <w:r>
              <w:rPr>
                <w:rFonts w:hint="eastAsia"/>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11" w:type="dxa"/>
            <w:vAlign w:val="center"/>
          </w:tcPr>
          <w:p>
            <w:pPr>
              <w:jc w:val="center"/>
              <w:rPr>
                <w:sz w:val="24"/>
              </w:rPr>
            </w:pPr>
            <w:r>
              <w:rPr>
                <w:rFonts w:hint="eastAsia"/>
                <w:sz w:val="24"/>
              </w:rPr>
              <w:t>H</w:t>
            </w:r>
            <w:r>
              <w:rPr>
                <w:sz w:val="24"/>
              </w:rPr>
              <w:t>T-</w:t>
            </w:r>
            <w:r>
              <w:rPr>
                <w:rFonts w:hint="eastAsia"/>
                <w:sz w:val="24"/>
              </w:rPr>
              <w:t>3</w:t>
            </w:r>
          </w:p>
        </w:tc>
        <w:tc>
          <w:tcPr>
            <w:tcW w:w="2307" w:type="dxa"/>
            <w:vAlign w:val="center"/>
          </w:tcPr>
          <w:p>
            <w:pPr>
              <w:autoSpaceDE w:val="0"/>
              <w:autoSpaceDN w:val="0"/>
              <w:adjustRightInd w:val="0"/>
              <w:snapToGrid w:val="0"/>
              <w:jc w:val="center"/>
              <w:rPr>
                <w:sz w:val="24"/>
              </w:rPr>
            </w:pPr>
            <w:r>
              <w:rPr>
                <w:sz w:val="24"/>
              </w:rPr>
              <w:t>污水处理站</w:t>
            </w:r>
          </w:p>
        </w:tc>
        <w:tc>
          <w:tcPr>
            <w:tcW w:w="3834" w:type="dxa"/>
            <w:vAlign w:val="center"/>
          </w:tcPr>
          <w:p>
            <w:pPr>
              <w:jc w:val="center"/>
              <w:rPr>
                <w:sz w:val="24"/>
              </w:rPr>
            </w:pPr>
            <w:r>
              <w:rPr>
                <w:rFonts w:hint="eastAsia"/>
                <w:sz w:val="24"/>
              </w:rPr>
              <w:t>PH、镉、六价铬、汞、砷、铅、氟化物、甲苯、二甲苯、二氯甲烷、二氯乙烷、氯仿、甲醇、乙醇、石油烃</w:t>
            </w:r>
          </w:p>
        </w:tc>
        <w:tc>
          <w:tcPr>
            <w:tcW w:w="2112" w:type="dxa"/>
            <w:vAlign w:val="center"/>
          </w:tcPr>
          <w:p>
            <w:pPr>
              <w:jc w:val="center"/>
              <w:rPr>
                <w:sz w:val="24"/>
              </w:rPr>
            </w:pPr>
            <w:r>
              <w:rPr>
                <w:rFonts w:hint="eastAsia"/>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11" w:type="dxa"/>
            <w:vAlign w:val="center"/>
          </w:tcPr>
          <w:p>
            <w:pPr>
              <w:jc w:val="center"/>
              <w:rPr>
                <w:sz w:val="24"/>
              </w:rPr>
            </w:pPr>
            <w:r>
              <w:rPr>
                <w:rFonts w:hint="eastAsia"/>
                <w:sz w:val="24"/>
              </w:rPr>
              <w:t>H</w:t>
            </w:r>
            <w:r>
              <w:rPr>
                <w:sz w:val="24"/>
              </w:rPr>
              <w:t>T-</w:t>
            </w:r>
            <w:r>
              <w:rPr>
                <w:rFonts w:hint="eastAsia"/>
                <w:sz w:val="24"/>
              </w:rPr>
              <w:t>4</w:t>
            </w:r>
          </w:p>
        </w:tc>
        <w:tc>
          <w:tcPr>
            <w:tcW w:w="2307" w:type="dxa"/>
            <w:vAlign w:val="center"/>
          </w:tcPr>
          <w:p>
            <w:pPr>
              <w:pStyle w:val="45"/>
              <w:adjustRightInd w:val="0"/>
              <w:snapToGrid w:val="0"/>
              <w:spacing w:after="0" w:line="240" w:lineRule="auto"/>
              <w:ind w:left="0"/>
              <w:contextualSpacing w:val="0"/>
              <w:jc w:val="center"/>
              <w:rPr>
                <w:rFonts w:ascii="Times New Roman" w:hAnsi="Times New Roman"/>
                <w:sz w:val="24"/>
                <w:szCs w:val="24"/>
              </w:rPr>
            </w:pPr>
            <w:r>
              <w:rPr>
                <w:rFonts w:ascii="Times New Roman" w:hAnsi="Times New Roman"/>
                <w:sz w:val="24"/>
                <w:szCs w:val="24"/>
              </w:rPr>
              <w:t>综合楼</w:t>
            </w:r>
          </w:p>
        </w:tc>
        <w:tc>
          <w:tcPr>
            <w:tcW w:w="3834" w:type="dxa"/>
            <w:vAlign w:val="center"/>
          </w:tcPr>
          <w:p>
            <w:pPr>
              <w:jc w:val="center"/>
              <w:rPr>
                <w:sz w:val="24"/>
              </w:rPr>
            </w:pPr>
            <w:r>
              <w:rPr>
                <w:rFonts w:hint="eastAsia"/>
                <w:sz w:val="24"/>
              </w:rPr>
              <w:t>PH、镉、六价铬、汞、砷、铅、氟化物、甲苯、二甲苯、二氯甲烷、二氯乙烷、氯仿、甲醇、乙醇、石油烃</w:t>
            </w:r>
          </w:p>
        </w:tc>
        <w:tc>
          <w:tcPr>
            <w:tcW w:w="2112" w:type="dxa"/>
            <w:vAlign w:val="center"/>
          </w:tcPr>
          <w:p>
            <w:pPr>
              <w:jc w:val="center"/>
              <w:rPr>
                <w:sz w:val="24"/>
              </w:rPr>
            </w:pPr>
            <w:r>
              <w:rPr>
                <w:rFonts w:hint="eastAsia"/>
                <w:sz w:val="24"/>
              </w:rPr>
              <w:t>0.2</w:t>
            </w:r>
          </w:p>
        </w:tc>
      </w:tr>
    </w:tbl>
    <w:p>
      <w:pPr>
        <w:adjustRightInd w:val="0"/>
        <w:snapToGrid w:val="0"/>
        <w:spacing w:beforeLines="20" w:line="360" w:lineRule="auto"/>
        <w:ind w:firstLine="480"/>
        <w:rPr>
          <w:sz w:val="28"/>
          <w:szCs w:val="28"/>
        </w:rPr>
      </w:pPr>
      <w:r>
        <w:rPr>
          <w:rFonts w:hint="eastAsia"/>
          <w:sz w:val="28"/>
          <w:szCs w:val="28"/>
        </w:rPr>
        <w:t>2、土壤气</w:t>
      </w:r>
    </w:p>
    <w:p>
      <w:pPr>
        <w:adjustRightInd w:val="0"/>
        <w:snapToGrid w:val="0"/>
        <w:spacing w:line="360" w:lineRule="auto"/>
        <w:ind w:firstLine="482"/>
        <w:rPr>
          <w:sz w:val="28"/>
          <w:szCs w:val="28"/>
        </w:rPr>
      </w:pPr>
      <w:r>
        <w:rPr>
          <w:rFonts w:hint="eastAsia"/>
          <w:sz w:val="28"/>
          <w:szCs w:val="28"/>
        </w:rPr>
        <w:t>本方案在产生挥发性有机物的医药</w:t>
      </w:r>
      <w:r>
        <w:rPr>
          <w:sz w:val="28"/>
          <w:szCs w:val="28"/>
        </w:rPr>
        <w:t>中间体车间</w:t>
      </w:r>
      <w:r>
        <w:rPr>
          <w:rFonts w:hint="eastAsia"/>
          <w:sz w:val="28"/>
          <w:szCs w:val="28"/>
        </w:rPr>
        <w:t>（一、二、三车间）重点区域布设土壤气监测井。</w:t>
      </w:r>
    </w:p>
    <w:p>
      <w:pPr>
        <w:adjustRightInd w:val="0"/>
        <w:snapToGrid w:val="0"/>
        <w:spacing w:beforeLines="20"/>
        <w:jc w:val="center"/>
        <w:rPr>
          <w:b/>
          <w:sz w:val="24"/>
        </w:rPr>
      </w:pPr>
      <w:r>
        <w:rPr>
          <w:b/>
          <w:sz w:val="24"/>
        </w:rPr>
        <w:t>表</w:t>
      </w:r>
      <w:r>
        <w:rPr>
          <w:rFonts w:hint="eastAsia"/>
          <w:b/>
          <w:sz w:val="24"/>
        </w:rPr>
        <w:t xml:space="preserve">6-2 </w:t>
      </w:r>
      <w:r>
        <w:rPr>
          <w:b/>
          <w:sz w:val="24"/>
        </w:rPr>
        <w:t xml:space="preserve"> </w:t>
      </w:r>
      <w:r>
        <w:rPr>
          <w:rFonts w:hint="eastAsia"/>
          <w:b/>
          <w:sz w:val="24"/>
        </w:rPr>
        <w:t>土壤气监测</w:t>
      </w:r>
      <w:r>
        <w:rPr>
          <w:b/>
          <w:sz w:val="24"/>
        </w:rPr>
        <w:t>点位及深度一览表</w:t>
      </w:r>
    </w:p>
    <w:tbl>
      <w:tblPr>
        <w:tblStyle w:val="19"/>
        <w:tblW w:w="80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974"/>
        <w:gridCol w:w="3403"/>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blHeader/>
          <w:jc w:val="center"/>
        </w:trPr>
        <w:tc>
          <w:tcPr>
            <w:tcW w:w="1048" w:type="dxa"/>
            <w:vAlign w:val="center"/>
          </w:tcPr>
          <w:p>
            <w:pPr>
              <w:adjustRightInd w:val="0"/>
              <w:snapToGrid w:val="0"/>
              <w:jc w:val="center"/>
              <w:rPr>
                <w:sz w:val="24"/>
              </w:rPr>
            </w:pPr>
            <w:r>
              <w:rPr>
                <w:sz w:val="24"/>
              </w:rPr>
              <w:t>编号</w:t>
            </w:r>
          </w:p>
        </w:tc>
        <w:tc>
          <w:tcPr>
            <w:tcW w:w="1974" w:type="dxa"/>
            <w:vAlign w:val="center"/>
          </w:tcPr>
          <w:p>
            <w:pPr>
              <w:adjustRightInd w:val="0"/>
              <w:snapToGrid w:val="0"/>
              <w:jc w:val="center"/>
              <w:rPr>
                <w:sz w:val="24"/>
              </w:rPr>
            </w:pPr>
            <w:r>
              <w:rPr>
                <w:rFonts w:hint="eastAsia"/>
                <w:sz w:val="24"/>
              </w:rPr>
              <w:t>监测</w:t>
            </w:r>
            <w:r>
              <w:rPr>
                <w:sz w:val="24"/>
              </w:rPr>
              <w:t>井位置描述</w:t>
            </w:r>
          </w:p>
        </w:tc>
        <w:tc>
          <w:tcPr>
            <w:tcW w:w="3403" w:type="dxa"/>
            <w:vAlign w:val="center"/>
          </w:tcPr>
          <w:p>
            <w:pPr>
              <w:adjustRightInd w:val="0"/>
              <w:snapToGrid w:val="0"/>
              <w:jc w:val="center"/>
              <w:rPr>
                <w:sz w:val="24"/>
              </w:rPr>
            </w:pPr>
            <w:r>
              <w:rPr>
                <w:sz w:val="24"/>
              </w:rPr>
              <w:t>监测项目</w:t>
            </w:r>
          </w:p>
        </w:tc>
        <w:tc>
          <w:tcPr>
            <w:tcW w:w="1671" w:type="dxa"/>
            <w:vAlign w:val="center"/>
          </w:tcPr>
          <w:p>
            <w:pPr>
              <w:adjustRightInd w:val="0"/>
              <w:snapToGrid w:val="0"/>
              <w:jc w:val="center"/>
              <w:rPr>
                <w:sz w:val="24"/>
              </w:rPr>
            </w:pPr>
            <w:r>
              <w:rPr>
                <w:sz w:val="24"/>
              </w:rPr>
              <w:t>采样深度（m）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048" w:type="dxa"/>
            <w:vAlign w:val="center"/>
          </w:tcPr>
          <w:p>
            <w:pPr>
              <w:adjustRightInd w:val="0"/>
              <w:snapToGrid w:val="0"/>
              <w:jc w:val="center"/>
              <w:rPr>
                <w:sz w:val="24"/>
              </w:rPr>
            </w:pPr>
            <w:r>
              <w:rPr>
                <w:rFonts w:hint="eastAsia"/>
                <w:sz w:val="24"/>
              </w:rPr>
              <w:t>LQ</w:t>
            </w:r>
            <w:r>
              <w:rPr>
                <w:sz w:val="24"/>
              </w:rPr>
              <w:t>-1</w:t>
            </w:r>
          </w:p>
        </w:tc>
        <w:tc>
          <w:tcPr>
            <w:tcW w:w="1974" w:type="dxa"/>
            <w:vAlign w:val="center"/>
          </w:tcPr>
          <w:p>
            <w:pPr>
              <w:pStyle w:val="45"/>
              <w:adjustRightInd w:val="0"/>
              <w:snapToGrid w:val="0"/>
              <w:spacing w:after="0" w:line="360" w:lineRule="exact"/>
              <w:ind w:left="0"/>
              <w:contextualSpacing w:val="0"/>
              <w:jc w:val="center"/>
              <w:rPr>
                <w:rFonts w:ascii="Times New Roman" w:hAnsi="宋体"/>
                <w:sz w:val="24"/>
                <w:szCs w:val="24"/>
              </w:rPr>
            </w:pPr>
            <w:r>
              <w:rPr>
                <w:rFonts w:hint="eastAsia" w:ascii="Times New Roman" w:hAnsi="宋体"/>
                <w:sz w:val="24"/>
                <w:szCs w:val="24"/>
              </w:rPr>
              <w:t>一、二、三车间</w:t>
            </w:r>
          </w:p>
        </w:tc>
        <w:tc>
          <w:tcPr>
            <w:tcW w:w="3403" w:type="dxa"/>
            <w:vAlign w:val="center"/>
          </w:tcPr>
          <w:p>
            <w:pPr>
              <w:adjustRightInd w:val="0"/>
              <w:snapToGrid w:val="0"/>
              <w:jc w:val="center"/>
              <w:rPr>
                <w:sz w:val="24"/>
              </w:rPr>
            </w:pPr>
            <w:r>
              <w:rPr>
                <w:rFonts w:hint="eastAsia"/>
                <w:sz w:val="24"/>
              </w:rPr>
              <w:t>甲苯、二甲苯、二氯甲烷、二氯乙烷、氯仿、甲醇、乙醇、石油烃</w:t>
            </w:r>
          </w:p>
        </w:tc>
        <w:tc>
          <w:tcPr>
            <w:tcW w:w="1671" w:type="dxa"/>
            <w:vAlign w:val="center"/>
          </w:tcPr>
          <w:p>
            <w:pPr>
              <w:adjustRightInd w:val="0"/>
              <w:snapToGrid w:val="0"/>
              <w:jc w:val="center"/>
              <w:rPr>
                <w:sz w:val="24"/>
              </w:rPr>
            </w:pPr>
            <w:r>
              <w:rPr>
                <w:rFonts w:hint="eastAsia"/>
                <w:sz w:val="24"/>
              </w:rPr>
              <w:t>地面以下1.5</w:t>
            </w:r>
            <w:r>
              <w:rPr>
                <w:sz w:val="24"/>
              </w:rPr>
              <w:t xml:space="preserve"> </w:t>
            </w:r>
          </w:p>
        </w:tc>
      </w:tr>
    </w:tbl>
    <w:p>
      <w:pPr>
        <w:adjustRightInd w:val="0"/>
        <w:snapToGrid w:val="0"/>
        <w:spacing w:beforeLines="50" w:line="360" w:lineRule="auto"/>
        <w:ind w:firstLine="482"/>
        <w:rPr>
          <w:sz w:val="28"/>
          <w:szCs w:val="28"/>
        </w:rPr>
      </w:pPr>
      <w:r>
        <w:rPr>
          <w:rFonts w:hint="eastAsia"/>
          <w:sz w:val="28"/>
          <w:szCs w:val="28"/>
        </w:rPr>
        <w:t>3、地下水</w:t>
      </w:r>
    </w:p>
    <w:p>
      <w:pPr>
        <w:adjustRightInd w:val="0"/>
        <w:snapToGrid w:val="0"/>
        <w:spacing w:line="360" w:lineRule="auto"/>
        <w:ind w:firstLine="560" w:firstLineChars="200"/>
        <w:rPr>
          <w:sz w:val="28"/>
          <w:szCs w:val="28"/>
        </w:rPr>
      </w:pPr>
      <w:r>
        <w:rPr>
          <w:rFonts w:hint="eastAsia"/>
          <w:sz w:val="28"/>
          <w:szCs w:val="28"/>
        </w:rPr>
        <w:t>根据第二章确定的地下水流场，宏昇药业地下水流向大致为由西北向东南。遵循监测井布设在污染物所有潜在迁移途径的下游的原则，本方案将污染物监测井设置于厂区东南角，背景监测井设置于厂区西北角。</w:t>
      </w:r>
    </w:p>
    <w:p>
      <w:pPr>
        <w:spacing w:beforeLines="20"/>
        <w:jc w:val="center"/>
        <w:rPr>
          <w:b/>
          <w:sz w:val="24"/>
        </w:rPr>
      </w:pPr>
      <w:r>
        <w:rPr>
          <w:b/>
          <w:sz w:val="24"/>
        </w:rPr>
        <w:t>表</w:t>
      </w:r>
      <w:r>
        <w:rPr>
          <w:rFonts w:hint="eastAsia"/>
          <w:b/>
          <w:sz w:val="24"/>
        </w:rPr>
        <w:t>6-3  地下水监测</w:t>
      </w:r>
      <w:r>
        <w:rPr>
          <w:b/>
          <w:sz w:val="24"/>
        </w:rPr>
        <w:t>点位及深度一览表</w:t>
      </w:r>
    </w:p>
    <w:tbl>
      <w:tblPr>
        <w:tblStyle w:val="19"/>
        <w:tblW w:w="8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185"/>
        <w:gridCol w:w="393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blHeader/>
          <w:jc w:val="center"/>
        </w:trPr>
        <w:tc>
          <w:tcPr>
            <w:tcW w:w="1147" w:type="dxa"/>
            <w:vAlign w:val="center"/>
          </w:tcPr>
          <w:p>
            <w:pPr>
              <w:jc w:val="center"/>
              <w:rPr>
                <w:sz w:val="24"/>
              </w:rPr>
            </w:pPr>
            <w:r>
              <w:rPr>
                <w:sz w:val="24"/>
              </w:rPr>
              <w:t>编号</w:t>
            </w:r>
          </w:p>
        </w:tc>
        <w:tc>
          <w:tcPr>
            <w:tcW w:w="2185" w:type="dxa"/>
            <w:vAlign w:val="center"/>
          </w:tcPr>
          <w:p>
            <w:pPr>
              <w:jc w:val="center"/>
              <w:rPr>
                <w:sz w:val="24"/>
              </w:rPr>
            </w:pPr>
            <w:r>
              <w:rPr>
                <w:rFonts w:hint="eastAsia"/>
                <w:sz w:val="24"/>
              </w:rPr>
              <w:t>监测</w:t>
            </w:r>
            <w:r>
              <w:rPr>
                <w:sz w:val="24"/>
              </w:rPr>
              <w:t>井位置描述</w:t>
            </w:r>
          </w:p>
        </w:tc>
        <w:tc>
          <w:tcPr>
            <w:tcW w:w="3933" w:type="dxa"/>
            <w:vAlign w:val="center"/>
          </w:tcPr>
          <w:p>
            <w:pPr>
              <w:jc w:val="center"/>
              <w:rPr>
                <w:sz w:val="24"/>
              </w:rPr>
            </w:pPr>
            <w:r>
              <w:rPr>
                <w:sz w:val="24"/>
              </w:rPr>
              <w:t>监测项目</w:t>
            </w:r>
          </w:p>
        </w:tc>
        <w:tc>
          <w:tcPr>
            <w:tcW w:w="1701" w:type="dxa"/>
            <w:vAlign w:val="center"/>
          </w:tcPr>
          <w:p>
            <w:pPr>
              <w:jc w:val="center"/>
              <w:rPr>
                <w:sz w:val="24"/>
              </w:rPr>
            </w:pPr>
            <w:r>
              <w:rPr>
                <w:sz w:val="24"/>
              </w:rPr>
              <w:t>采样深度（m）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147" w:type="dxa"/>
            <w:vAlign w:val="center"/>
          </w:tcPr>
          <w:p>
            <w:pPr>
              <w:jc w:val="center"/>
              <w:rPr>
                <w:sz w:val="24"/>
              </w:rPr>
            </w:pPr>
            <w:r>
              <w:rPr>
                <w:rFonts w:hint="eastAsia"/>
                <w:sz w:val="24"/>
              </w:rPr>
              <w:t>HS</w:t>
            </w:r>
            <w:r>
              <w:rPr>
                <w:sz w:val="24"/>
              </w:rPr>
              <w:t>-1</w:t>
            </w:r>
          </w:p>
        </w:tc>
        <w:tc>
          <w:tcPr>
            <w:tcW w:w="2185" w:type="dxa"/>
            <w:vAlign w:val="center"/>
          </w:tcPr>
          <w:p>
            <w:pPr>
              <w:pStyle w:val="45"/>
              <w:adjustRightInd w:val="0"/>
              <w:snapToGrid w:val="0"/>
              <w:spacing w:after="0" w:line="360" w:lineRule="exact"/>
              <w:ind w:left="0"/>
              <w:contextualSpacing w:val="0"/>
              <w:jc w:val="center"/>
              <w:rPr>
                <w:rFonts w:ascii="Times New Roman" w:hAnsi="宋体"/>
                <w:sz w:val="24"/>
                <w:szCs w:val="24"/>
              </w:rPr>
            </w:pPr>
            <w:r>
              <w:rPr>
                <w:rFonts w:ascii="Times New Roman" w:hAnsi="宋体"/>
                <w:sz w:val="24"/>
                <w:szCs w:val="24"/>
              </w:rPr>
              <w:t>地下水上游</w:t>
            </w:r>
          </w:p>
        </w:tc>
        <w:tc>
          <w:tcPr>
            <w:tcW w:w="3933" w:type="dxa"/>
            <w:vAlign w:val="center"/>
          </w:tcPr>
          <w:p>
            <w:pPr>
              <w:jc w:val="center"/>
              <w:rPr>
                <w:sz w:val="24"/>
              </w:rPr>
            </w:pPr>
            <w:r>
              <w:rPr>
                <w:rFonts w:hint="eastAsia"/>
                <w:sz w:val="24"/>
              </w:rPr>
              <w:t>PH、镉、六价铬、汞、砷、铅、氟化物、甲苯、二甲苯、二氯甲烷、二氯乙烷、氯仿、甲醇、乙醇、石油类、乙酸乙酯、乙腈</w:t>
            </w:r>
          </w:p>
        </w:tc>
        <w:tc>
          <w:tcPr>
            <w:tcW w:w="1701" w:type="dxa"/>
            <w:vAlign w:val="center"/>
          </w:tcPr>
          <w:p>
            <w:pPr>
              <w:jc w:val="center"/>
              <w:rPr>
                <w:sz w:val="24"/>
              </w:rPr>
            </w:pPr>
            <w:r>
              <w:rPr>
                <w:rFonts w:hint="eastAsia"/>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147" w:type="dxa"/>
            <w:vAlign w:val="center"/>
          </w:tcPr>
          <w:p>
            <w:pPr>
              <w:jc w:val="center"/>
              <w:rPr>
                <w:sz w:val="24"/>
              </w:rPr>
            </w:pPr>
            <w:r>
              <w:rPr>
                <w:rFonts w:hint="eastAsia"/>
                <w:sz w:val="24"/>
              </w:rPr>
              <w:t>HS-2</w:t>
            </w:r>
          </w:p>
        </w:tc>
        <w:tc>
          <w:tcPr>
            <w:tcW w:w="2185" w:type="dxa"/>
            <w:vAlign w:val="center"/>
          </w:tcPr>
          <w:p>
            <w:pPr>
              <w:pStyle w:val="45"/>
              <w:adjustRightInd w:val="0"/>
              <w:snapToGrid w:val="0"/>
              <w:spacing w:after="0" w:line="360" w:lineRule="exact"/>
              <w:ind w:left="0"/>
              <w:contextualSpacing w:val="0"/>
              <w:jc w:val="center"/>
              <w:rPr>
                <w:rFonts w:ascii="Times New Roman" w:hAnsi="宋体"/>
                <w:sz w:val="24"/>
                <w:szCs w:val="24"/>
                <w:lang w:eastAsia="zh-CN"/>
              </w:rPr>
            </w:pPr>
            <w:r>
              <w:rPr>
                <w:rFonts w:ascii="Times New Roman" w:hAnsi="宋体"/>
                <w:sz w:val="24"/>
                <w:szCs w:val="24"/>
                <w:lang w:eastAsia="zh-CN"/>
              </w:rPr>
              <w:t>一</w:t>
            </w:r>
            <w:r>
              <w:rPr>
                <w:rFonts w:hint="eastAsia" w:ascii="Times New Roman" w:hAnsi="宋体"/>
                <w:sz w:val="24"/>
                <w:szCs w:val="24"/>
                <w:lang w:eastAsia="zh-CN"/>
              </w:rPr>
              <w:t>、</w:t>
            </w:r>
            <w:r>
              <w:rPr>
                <w:rFonts w:ascii="Times New Roman" w:hAnsi="宋体"/>
                <w:sz w:val="24"/>
                <w:szCs w:val="24"/>
                <w:lang w:eastAsia="zh-CN"/>
              </w:rPr>
              <w:t>二</w:t>
            </w:r>
            <w:r>
              <w:rPr>
                <w:rFonts w:hint="eastAsia" w:ascii="Times New Roman" w:hAnsi="宋体"/>
                <w:sz w:val="24"/>
                <w:szCs w:val="24"/>
                <w:lang w:eastAsia="zh-CN"/>
              </w:rPr>
              <w:t>、</w:t>
            </w:r>
            <w:r>
              <w:rPr>
                <w:rFonts w:ascii="Times New Roman" w:hAnsi="宋体"/>
                <w:sz w:val="24"/>
                <w:szCs w:val="24"/>
                <w:lang w:eastAsia="zh-CN"/>
              </w:rPr>
              <w:t>三车间下游</w:t>
            </w:r>
          </w:p>
        </w:tc>
        <w:tc>
          <w:tcPr>
            <w:tcW w:w="3933" w:type="dxa"/>
            <w:vAlign w:val="center"/>
          </w:tcPr>
          <w:p>
            <w:pPr>
              <w:jc w:val="center"/>
              <w:rPr>
                <w:sz w:val="24"/>
              </w:rPr>
            </w:pPr>
            <w:r>
              <w:rPr>
                <w:rFonts w:hint="eastAsia"/>
                <w:sz w:val="24"/>
              </w:rPr>
              <w:t>PH、镉、六价铬、汞、砷、铅、氟化物、甲苯、二甲苯、二氯甲烷、二氯乙烷、氯仿、甲醇、乙醇、石油类、乙酸乙酯、乙腈</w:t>
            </w:r>
          </w:p>
        </w:tc>
        <w:tc>
          <w:tcPr>
            <w:tcW w:w="1701" w:type="dxa"/>
            <w:vAlign w:val="center"/>
          </w:tcPr>
          <w:p>
            <w:pPr>
              <w:jc w:val="center"/>
              <w:rPr>
                <w:sz w:val="24"/>
              </w:rPr>
            </w:pPr>
            <w:r>
              <w:rPr>
                <w:rFonts w:hint="eastAsia"/>
                <w:sz w:val="24"/>
              </w:rPr>
              <w:t>0.5</w:t>
            </w:r>
          </w:p>
        </w:tc>
      </w:tr>
    </w:tbl>
    <w:p>
      <w:pPr>
        <w:adjustRightInd w:val="0"/>
        <w:snapToGrid w:val="0"/>
        <w:spacing w:line="360" w:lineRule="auto"/>
        <w:jc w:val="center"/>
        <w:outlineLvl w:val="0"/>
        <w:rPr>
          <w:b/>
          <w:sz w:val="32"/>
          <w:szCs w:val="32"/>
        </w:rPr>
      </w:pPr>
    </w:p>
    <w:p>
      <w:pPr>
        <w:adjustRightInd w:val="0"/>
        <w:snapToGrid w:val="0"/>
        <w:spacing w:line="360" w:lineRule="auto"/>
        <w:jc w:val="center"/>
        <w:rPr>
          <w:b/>
          <w:sz w:val="32"/>
          <w:szCs w:val="32"/>
        </w:rPr>
      </w:pPr>
      <w:r>
        <w:rPr>
          <w:b/>
          <w:sz w:val="32"/>
          <w:szCs w:val="32"/>
        </w:rPr>
        <w:drawing>
          <wp:inline distT="0" distB="0" distL="114300" distR="114300">
            <wp:extent cx="5238750" cy="3800475"/>
            <wp:effectExtent l="0" t="0" r="0" b="9525"/>
            <wp:docPr id="4" name="图片 3" descr="宏昇药业-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宏昇药业-监测布点图"/>
                    <pic:cNvPicPr>
                      <a:picLocks noChangeAspect="1"/>
                    </pic:cNvPicPr>
                  </pic:nvPicPr>
                  <pic:blipFill>
                    <a:blip r:embed="rId51"/>
                    <a:srcRect l="4512" t="3836" r="5054" b="3069"/>
                    <a:stretch>
                      <a:fillRect/>
                    </a:stretch>
                  </pic:blipFill>
                  <pic:spPr>
                    <a:xfrm>
                      <a:off x="0" y="0"/>
                      <a:ext cx="5238750" cy="3800475"/>
                    </a:xfrm>
                    <a:prstGeom prst="rect">
                      <a:avLst/>
                    </a:prstGeom>
                    <a:noFill/>
                    <a:ln w="9525">
                      <a:noFill/>
                    </a:ln>
                  </pic:spPr>
                </pic:pic>
              </a:graphicData>
            </a:graphic>
          </wp:inline>
        </w:drawing>
      </w:r>
    </w:p>
    <w:p>
      <w:pPr>
        <w:adjustRightInd w:val="0"/>
        <w:snapToGrid w:val="0"/>
        <w:spacing w:line="360" w:lineRule="auto"/>
        <w:jc w:val="center"/>
        <w:rPr>
          <w:b/>
          <w:sz w:val="24"/>
        </w:rPr>
      </w:pPr>
      <w:r>
        <w:rPr>
          <w:rFonts w:hint="eastAsia"/>
          <w:b/>
          <w:sz w:val="24"/>
        </w:rPr>
        <w:t>图6-3  厂区土壤、土壤气及地下水监测点位图</w:t>
      </w:r>
      <w:r>
        <w:rPr>
          <w:b/>
          <w:sz w:val="32"/>
          <w:szCs w:val="32"/>
        </w:rPr>
        <w:br w:type="page"/>
      </w:r>
    </w:p>
    <w:p>
      <w:pPr>
        <w:adjustRightInd w:val="0"/>
        <w:snapToGrid w:val="0"/>
        <w:spacing w:line="360" w:lineRule="auto"/>
        <w:jc w:val="center"/>
        <w:outlineLvl w:val="0"/>
        <w:rPr>
          <w:b/>
          <w:bCs/>
          <w:sz w:val="36"/>
          <w:szCs w:val="36"/>
        </w:rPr>
      </w:pPr>
      <w:bookmarkStart w:id="44" w:name="_Toc532386771"/>
      <w:bookmarkStart w:id="45" w:name="_Toc532386207"/>
      <w:r>
        <w:rPr>
          <w:rFonts w:hint="eastAsia"/>
          <w:b/>
          <w:bCs/>
          <w:sz w:val="36"/>
          <w:szCs w:val="36"/>
        </w:rPr>
        <w:t>7、样品采集、保存、流转及分析测试</w:t>
      </w:r>
      <w:bookmarkEnd w:id="44"/>
      <w:bookmarkEnd w:id="45"/>
    </w:p>
    <w:p>
      <w:pPr>
        <w:adjustRightInd w:val="0"/>
        <w:snapToGrid w:val="0"/>
        <w:spacing w:line="360" w:lineRule="auto"/>
        <w:outlineLvl w:val="1"/>
        <w:rPr>
          <w:b/>
          <w:sz w:val="28"/>
          <w:szCs w:val="28"/>
        </w:rPr>
      </w:pPr>
      <w:bookmarkStart w:id="46" w:name="_Toc532386772"/>
      <w:bookmarkStart w:id="47" w:name="_Toc532386208"/>
      <w:r>
        <w:rPr>
          <w:rFonts w:hint="eastAsia"/>
          <w:b/>
          <w:sz w:val="28"/>
          <w:szCs w:val="28"/>
        </w:rPr>
        <w:t>7</w:t>
      </w:r>
      <w:r>
        <w:rPr>
          <w:b/>
          <w:sz w:val="28"/>
          <w:szCs w:val="28"/>
        </w:rPr>
        <w:t>.1土壤取样方法</w:t>
      </w:r>
      <w:bookmarkEnd w:id="46"/>
      <w:bookmarkEnd w:id="47"/>
    </w:p>
    <w:p>
      <w:pPr>
        <w:adjustRightInd w:val="0"/>
        <w:snapToGrid w:val="0"/>
        <w:spacing w:line="360" w:lineRule="auto"/>
        <w:ind w:firstLine="560" w:firstLineChars="200"/>
        <w:rPr>
          <w:sz w:val="28"/>
          <w:szCs w:val="28"/>
        </w:rPr>
      </w:pPr>
      <w:r>
        <w:rPr>
          <w:sz w:val="28"/>
          <w:szCs w:val="28"/>
        </w:rPr>
        <w:t>（1）采样前准备</w:t>
      </w:r>
    </w:p>
    <w:p>
      <w:pPr>
        <w:adjustRightInd w:val="0"/>
        <w:snapToGrid w:val="0"/>
        <w:spacing w:line="360" w:lineRule="auto"/>
        <w:ind w:firstLine="480"/>
        <w:rPr>
          <w:sz w:val="28"/>
          <w:szCs w:val="28"/>
        </w:rPr>
      </w:pPr>
      <w:r>
        <w:rPr>
          <w:sz w:val="28"/>
          <w:szCs w:val="28"/>
        </w:rPr>
        <w:t>根据采样计划，做好采样组织准备及采样器具准备工作。采样组织准备主要是由具有场地调查经验且掌握土壤采样技术规程的专业技术人员组成采样组，采样前组织学习本项目的相关技术文件；采样器具准备包括：</w:t>
      </w:r>
      <w:r>
        <w:rPr>
          <w:rFonts w:ascii="宋体" w:hAnsi="宋体"/>
          <w:sz w:val="28"/>
          <w:szCs w:val="28"/>
        </w:rPr>
        <w:fldChar w:fldCharType="begin"/>
      </w:r>
      <w:r>
        <w:rPr>
          <w:rFonts w:ascii="宋体" w:hAnsi="宋体"/>
          <w:sz w:val="28"/>
          <w:szCs w:val="28"/>
        </w:rPr>
        <w:instrText xml:space="preserve"> = 1 \* GB3 </w:instrText>
      </w:r>
      <w:r>
        <w:rPr>
          <w:rFonts w:ascii="宋体" w:hAnsi="宋体"/>
          <w:sz w:val="28"/>
          <w:szCs w:val="28"/>
        </w:rPr>
        <w:fldChar w:fldCharType="separate"/>
      </w:r>
      <w:r>
        <w:rPr>
          <w:rFonts w:ascii="宋体" w:hAnsi="宋体"/>
          <w:sz w:val="28"/>
          <w:szCs w:val="28"/>
        </w:rPr>
        <w:t>①</w:t>
      </w:r>
      <w:r>
        <w:rPr>
          <w:rFonts w:ascii="宋体" w:hAnsi="宋体"/>
          <w:sz w:val="28"/>
          <w:szCs w:val="28"/>
        </w:rPr>
        <w:fldChar w:fldCharType="end"/>
      </w:r>
      <w:r>
        <w:rPr>
          <w:sz w:val="28"/>
          <w:szCs w:val="28"/>
        </w:rPr>
        <w:t>工具类：铁铲、重锤、木质取样勺、取土冲击钻、水泵等；</w:t>
      </w:r>
      <w:r>
        <w:rPr>
          <w:rFonts w:ascii="宋体" w:hAnsi="宋体"/>
          <w:sz w:val="28"/>
          <w:szCs w:val="28"/>
        </w:rPr>
        <w:fldChar w:fldCharType="begin"/>
      </w:r>
      <w:r>
        <w:rPr>
          <w:rFonts w:ascii="宋体" w:hAnsi="宋体"/>
          <w:sz w:val="28"/>
          <w:szCs w:val="28"/>
        </w:rPr>
        <w:instrText xml:space="preserve"> = 2 \* GB3 </w:instrText>
      </w:r>
      <w:r>
        <w:rPr>
          <w:rFonts w:ascii="宋体" w:hAnsi="宋体"/>
          <w:sz w:val="28"/>
          <w:szCs w:val="28"/>
        </w:rPr>
        <w:fldChar w:fldCharType="separate"/>
      </w:r>
      <w:r>
        <w:rPr>
          <w:rFonts w:ascii="宋体" w:hAnsi="宋体"/>
          <w:sz w:val="28"/>
          <w:szCs w:val="28"/>
        </w:rPr>
        <w:t>②</w:t>
      </w:r>
      <w:r>
        <w:rPr>
          <w:rFonts w:ascii="宋体" w:hAnsi="宋体"/>
          <w:sz w:val="28"/>
          <w:szCs w:val="28"/>
        </w:rPr>
        <w:fldChar w:fldCharType="end"/>
      </w:r>
      <w:r>
        <w:rPr>
          <w:sz w:val="28"/>
          <w:szCs w:val="28"/>
        </w:rPr>
        <w:t>器材类：GPS、相机、胶带、卷尺、皮尺、样品袋、PVC水管、保温箱、冰袋；</w:t>
      </w:r>
      <w:r>
        <w:rPr>
          <w:rFonts w:ascii="宋体" w:hAnsi="宋体"/>
          <w:sz w:val="28"/>
          <w:szCs w:val="28"/>
        </w:rPr>
        <w:fldChar w:fldCharType="begin"/>
      </w:r>
      <w:r>
        <w:rPr>
          <w:rFonts w:ascii="宋体" w:hAnsi="宋体"/>
          <w:sz w:val="28"/>
          <w:szCs w:val="28"/>
        </w:rPr>
        <w:instrText xml:space="preserve"> = 3 \* GB3 </w:instrText>
      </w:r>
      <w:r>
        <w:rPr>
          <w:rFonts w:ascii="宋体" w:hAnsi="宋体"/>
          <w:sz w:val="28"/>
          <w:szCs w:val="28"/>
        </w:rPr>
        <w:fldChar w:fldCharType="separate"/>
      </w:r>
      <w:r>
        <w:rPr>
          <w:rFonts w:ascii="宋体" w:hAnsi="宋体"/>
          <w:sz w:val="28"/>
          <w:szCs w:val="28"/>
        </w:rPr>
        <w:t>③</w:t>
      </w:r>
      <w:r>
        <w:rPr>
          <w:rFonts w:ascii="宋体" w:hAnsi="宋体"/>
          <w:sz w:val="28"/>
          <w:szCs w:val="28"/>
        </w:rPr>
        <w:fldChar w:fldCharType="end"/>
      </w:r>
      <w:r>
        <w:rPr>
          <w:sz w:val="28"/>
          <w:szCs w:val="28"/>
        </w:rPr>
        <w:t>文具类：样品标签、采样记录表、签字笔、资料夹等；</w:t>
      </w:r>
      <w:r>
        <w:rPr>
          <w:rFonts w:ascii="宋体" w:hAnsi="宋体"/>
          <w:sz w:val="28"/>
          <w:szCs w:val="28"/>
        </w:rPr>
        <w:fldChar w:fldCharType="begin"/>
      </w:r>
      <w:r>
        <w:rPr>
          <w:rFonts w:ascii="宋体" w:hAnsi="宋体"/>
          <w:sz w:val="28"/>
          <w:szCs w:val="28"/>
        </w:rPr>
        <w:instrText xml:space="preserve"> = 4 \* GB3 </w:instrText>
      </w:r>
      <w:r>
        <w:rPr>
          <w:rFonts w:ascii="宋体" w:hAnsi="宋体"/>
          <w:sz w:val="28"/>
          <w:szCs w:val="28"/>
        </w:rPr>
        <w:fldChar w:fldCharType="separate"/>
      </w:r>
      <w:r>
        <w:rPr>
          <w:rFonts w:ascii="宋体" w:hAnsi="宋体"/>
          <w:sz w:val="28"/>
          <w:szCs w:val="28"/>
        </w:rPr>
        <w:t>④</w:t>
      </w:r>
      <w:r>
        <w:rPr>
          <w:rFonts w:ascii="宋体" w:hAnsi="宋体"/>
          <w:sz w:val="28"/>
          <w:szCs w:val="28"/>
        </w:rPr>
        <w:fldChar w:fldCharType="end"/>
      </w:r>
      <w:r>
        <w:rPr>
          <w:sz w:val="28"/>
          <w:szCs w:val="28"/>
        </w:rPr>
        <w:t>安全防护用品：工作服、工作鞋、安全帽、手套、安全警示牌、警戒线。采样过程全程照相或录像，以便记录、监督采样过程，保证采样质量和出现问题后的回溯。</w:t>
      </w:r>
    </w:p>
    <w:p>
      <w:pPr>
        <w:adjustRightInd w:val="0"/>
        <w:snapToGrid w:val="0"/>
        <w:spacing w:line="360" w:lineRule="auto"/>
        <w:ind w:firstLine="480"/>
        <w:rPr>
          <w:sz w:val="28"/>
          <w:szCs w:val="28"/>
        </w:rPr>
      </w:pPr>
      <w:r>
        <w:rPr>
          <w:sz w:val="28"/>
          <w:szCs w:val="28"/>
        </w:rPr>
        <w:t>（2）现场定位</w:t>
      </w:r>
    </w:p>
    <w:p>
      <w:pPr>
        <w:adjustRightInd w:val="0"/>
        <w:snapToGrid w:val="0"/>
        <w:spacing w:line="360" w:lineRule="auto"/>
        <w:ind w:firstLine="480"/>
        <w:rPr>
          <w:sz w:val="28"/>
          <w:szCs w:val="28"/>
        </w:rPr>
      </w:pPr>
      <w:r>
        <w:rPr>
          <w:sz w:val="28"/>
          <w:szCs w:val="28"/>
        </w:rPr>
        <w:t>应根据采样计划，采用GPS定位仪对监测点进行现场定位测量（高程和坐标），定位测量完成后，可用树桩、旗帜等器材标志监测点。</w:t>
      </w:r>
    </w:p>
    <w:p>
      <w:pPr>
        <w:numPr>
          <w:ilvl w:val="0"/>
          <w:numId w:val="1"/>
        </w:numPr>
        <w:adjustRightInd w:val="0"/>
        <w:snapToGrid w:val="0"/>
        <w:spacing w:line="360" w:lineRule="auto"/>
        <w:ind w:firstLine="480"/>
        <w:rPr>
          <w:sz w:val="28"/>
          <w:szCs w:val="28"/>
        </w:rPr>
      </w:pPr>
      <w:r>
        <w:rPr>
          <w:sz w:val="28"/>
          <w:szCs w:val="28"/>
        </w:rPr>
        <w:t>土壤样品采集</w:t>
      </w:r>
    </w:p>
    <w:p>
      <w:pPr>
        <w:adjustRightInd w:val="0"/>
        <w:snapToGrid w:val="0"/>
        <w:spacing w:line="360" w:lineRule="auto"/>
        <w:ind w:firstLine="480"/>
        <w:rPr>
          <w:sz w:val="28"/>
          <w:szCs w:val="28"/>
        </w:rPr>
      </w:pPr>
      <w:r>
        <w:rPr>
          <w:sz w:val="28"/>
          <w:szCs w:val="28"/>
        </w:rPr>
        <w:t>本场地中被混凝土覆盖的采样点监测的，先用重锤将混凝土层进行破碎，再进行钻孔取样。对于表层土壤采集，采用人工挖掘的方式，用铁铲等工具挖至表层取样深度处，利用木质采样勺采集表层土壤样品；深层土壤样品采用机械钻孔（冲击钻）取样的方式进行，钻出的土柱放置在事先清理干净的样品盒中，采样人员使用木勺刨去土柱外周的土壤，把大的砾石、塑料等剔除后将土壤样品采集至样品袋中。</w:t>
      </w:r>
    </w:p>
    <w:p>
      <w:pPr>
        <w:adjustRightInd w:val="0"/>
        <w:snapToGrid w:val="0"/>
        <w:spacing w:line="360" w:lineRule="auto"/>
        <w:outlineLvl w:val="1"/>
        <w:rPr>
          <w:b/>
          <w:sz w:val="28"/>
          <w:szCs w:val="28"/>
        </w:rPr>
      </w:pPr>
      <w:bookmarkStart w:id="48" w:name="_Toc532386209"/>
      <w:bookmarkStart w:id="49" w:name="_Toc532386773"/>
      <w:bookmarkStart w:id="50" w:name="_Toc529200970"/>
      <w:r>
        <w:rPr>
          <w:rFonts w:hint="eastAsia"/>
          <w:b/>
          <w:sz w:val="28"/>
          <w:szCs w:val="28"/>
        </w:rPr>
        <w:t>7</w:t>
      </w:r>
      <w:r>
        <w:rPr>
          <w:b/>
          <w:sz w:val="28"/>
          <w:szCs w:val="28"/>
        </w:rPr>
        <w:t>.2</w:t>
      </w:r>
      <w:r>
        <w:rPr>
          <w:rFonts w:hint="eastAsia"/>
          <w:b/>
          <w:sz w:val="28"/>
          <w:szCs w:val="28"/>
        </w:rPr>
        <w:t>地下水监测井设置与地下水采样</w:t>
      </w:r>
      <w:bookmarkEnd w:id="48"/>
      <w:bookmarkEnd w:id="49"/>
      <w:bookmarkEnd w:id="50"/>
      <w:r>
        <w:rPr>
          <w:rFonts w:hint="eastAsia"/>
          <w:b/>
          <w:sz w:val="28"/>
          <w:szCs w:val="28"/>
        </w:rPr>
        <w:t xml:space="preserve"> </w:t>
      </w:r>
    </w:p>
    <w:p>
      <w:pPr>
        <w:adjustRightInd w:val="0"/>
        <w:snapToGrid w:val="0"/>
        <w:spacing w:line="360" w:lineRule="auto"/>
        <w:ind w:firstLine="560" w:firstLineChars="200"/>
        <w:rPr>
          <w:bCs/>
          <w:sz w:val="28"/>
          <w:szCs w:val="28"/>
        </w:rPr>
      </w:pPr>
      <w:r>
        <w:rPr>
          <w:rFonts w:hint="eastAsia"/>
          <w:bCs/>
          <w:sz w:val="28"/>
          <w:szCs w:val="28"/>
        </w:rPr>
        <w:t>1、建井</w:t>
      </w:r>
    </w:p>
    <w:p>
      <w:pPr>
        <w:adjustRightInd w:val="0"/>
        <w:snapToGrid w:val="0"/>
        <w:spacing w:line="360" w:lineRule="auto"/>
        <w:ind w:firstLine="560" w:firstLineChars="200"/>
        <w:rPr>
          <w:bCs/>
          <w:sz w:val="28"/>
          <w:szCs w:val="28"/>
        </w:rPr>
      </w:pPr>
      <w:r>
        <w:rPr>
          <w:rFonts w:hint="eastAsia"/>
          <w:bCs/>
          <w:sz w:val="28"/>
          <w:szCs w:val="28"/>
        </w:rPr>
        <w:t xml:space="preserve">监测井的设置包括钻孔、下管、填砾及止水、井台构筑等步骤。监测井所采用的构筑材料不应改变地下水的化学成分。不应采用裸井作为地下水水质监测井。 </w:t>
      </w:r>
    </w:p>
    <w:p>
      <w:pPr>
        <w:adjustRightInd w:val="0"/>
        <w:snapToGrid w:val="0"/>
        <w:spacing w:line="360" w:lineRule="auto"/>
        <w:ind w:firstLine="560" w:firstLineChars="200"/>
        <w:rPr>
          <w:bCs/>
          <w:sz w:val="28"/>
          <w:szCs w:val="28"/>
        </w:rPr>
      </w:pPr>
      <w:r>
        <w:rPr>
          <w:rFonts w:hint="eastAsia"/>
          <w:bCs/>
          <w:sz w:val="28"/>
          <w:szCs w:val="28"/>
        </w:rPr>
        <w:t>2、洗井</w:t>
      </w:r>
    </w:p>
    <w:p>
      <w:pPr>
        <w:adjustRightInd w:val="0"/>
        <w:snapToGrid w:val="0"/>
        <w:spacing w:line="360" w:lineRule="auto"/>
        <w:ind w:firstLine="560" w:firstLineChars="200"/>
        <w:rPr>
          <w:bCs/>
          <w:sz w:val="28"/>
          <w:szCs w:val="28"/>
        </w:rPr>
      </w:pPr>
      <w:r>
        <w:rPr>
          <w:rFonts w:hint="eastAsia"/>
          <w:bCs/>
          <w:sz w:val="28"/>
          <w:szCs w:val="28"/>
        </w:rPr>
        <w:t xml:space="preserve">洗井一般分二次，即建井后的洗井和采样前的洗井。在洗井前后及洗井过程中应至少监测 pH值、电导率、浊度、水温及记录水的颜色、气味等，条件许可时，还应监测氧化还原电位、溶解氧和总溶解盐含量。建井后的洗井首先要求直观判断水质基本上达到水清砂净，同时 pH 值、电导率、浊度、水温等监测参数值达到稳定，即浊度等参数测试结果连续三次浮动在±10%以内，或浊度小于50 个浊度单位。取样前的洗井应至少在第一次洗井 24 小时后开始，其洗出的水量至少要达到井中贮水体积的三倍，同时要求 pH 值、电导率、氧化还原电位、溶解氧、浊度、水温等水质参数值稳定，但原则上洗出的水量不高于井中贮水体积的五倍。洗井一般可采用贝勒管、地面泵和潜水泵。 </w:t>
      </w:r>
    </w:p>
    <w:p>
      <w:pPr>
        <w:adjustRightInd w:val="0"/>
        <w:snapToGrid w:val="0"/>
        <w:spacing w:line="360" w:lineRule="auto"/>
        <w:ind w:firstLine="560" w:firstLineChars="200"/>
        <w:rPr>
          <w:bCs/>
          <w:sz w:val="28"/>
          <w:szCs w:val="28"/>
        </w:rPr>
      </w:pPr>
      <w:r>
        <w:rPr>
          <w:rFonts w:hint="eastAsia"/>
          <w:bCs/>
          <w:sz w:val="28"/>
          <w:szCs w:val="28"/>
        </w:rPr>
        <w:t xml:space="preserve">3、样品采集方法 </w:t>
      </w:r>
    </w:p>
    <w:p>
      <w:pPr>
        <w:adjustRightInd w:val="0"/>
        <w:snapToGrid w:val="0"/>
        <w:spacing w:line="360" w:lineRule="auto"/>
        <w:ind w:firstLine="560" w:firstLineChars="200"/>
        <w:rPr>
          <w:bCs/>
          <w:sz w:val="28"/>
          <w:szCs w:val="28"/>
        </w:rPr>
      </w:pPr>
      <w:r>
        <w:rPr>
          <w:rFonts w:hint="eastAsia"/>
          <w:bCs/>
          <w:sz w:val="28"/>
          <w:szCs w:val="28"/>
        </w:rPr>
        <w:t xml:space="preserve">地下水采样应在采样前的洗井完成后两小时内完成。水样采集可使用一次性贝勒管，要做到一井一管。如条件许可，也可采用电动或手动泵进行采样。 </w:t>
      </w:r>
    </w:p>
    <w:p>
      <w:pPr>
        <w:adjustRightInd w:val="0"/>
        <w:snapToGrid w:val="0"/>
        <w:spacing w:line="360" w:lineRule="auto"/>
        <w:ind w:firstLine="560" w:firstLineChars="200"/>
        <w:rPr>
          <w:bCs/>
          <w:sz w:val="28"/>
          <w:szCs w:val="28"/>
        </w:rPr>
      </w:pPr>
      <w:r>
        <w:rPr>
          <w:rFonts w:hint="eastAsia"/>
          <w:bCs/>
          <w:sz w:val="28"/>
          <w:szCs w:val="28"/>
        </w:rPr>
        <w:t xml:space="preserve">4、取水位置 </w:t>
      </w:r>
    </w:p>
    <w:p>
      <w:pPr>
        <w:adjustRightInd w:val="0"/>
        <w:snapToGrid w:val="0"/>
        <w:spacing w:line="360" w:lineRule="auto"/>
        <w:ind w:firstLine="560" w:firstLineChars="200"/>
        <w:rPr>
          <w:bCs/>
          <w:sz w:val="28"/>
          <w:szCs w:val="28"/>
        </w:rPr>
      </w:pPr>
      <w:r>
        <w:rPr>
          <w:rFonts w:hint="eastAsia"/>
          <w:bCs/>
          <w:sz w:val="28"/>
          <w:szCs w:val="28"/>
        </w:rPr>
        <w:t>一般在井中贮水的中部，但当水中含有重质非水相液体时，取水位置应在含水层底部和不透水层的顶部；水中含有轻质非水相液体时，取水位置应在油层的顶部。</w:t>
      </w:r>
    </w:p>
    <w:p>
      <w:pPr>
        <w:adjustRightInd w:val="0"/>
        <w:snapToGrid w:val="0"/>
        <w:spacing w:line="360" w:lineRule="auto"/>
        <w:outlineLvl w:val="1"/>
        <w:rPr>
          <w:b/>
          <w:sz w:val="28"/>
          <w:szCs w:val="28"/>
        </w:rPr>
      </w:pPr>
      <w:bookmarkStart w:id="51" w:name="_Toc532386210"/>
      <w:bookmarkStart w:id="52" w:name="_Toc532386774"/>
      <w:r>
        <w:rPr>
          <w:rFonts w:hint="eastAsia"/>
          <w:b/>
          <w:sz w:val="28"/>
          <w:szCs w:val="28"/>
        </w:rPr>
        <w:t>7</w:t>
      </w:r>
      <w:r>
        <w:rPr>
          <w:b/>
          <w:sz w:val="28"/>
          <w:szCs w:val="28"/>
        </w:rPr>
        <w:t>.</w:t>
      </w:r>
      <w:r>
        <w:rPr>
          <w:rFonts w:hint="eastAsia"/>
          <w:b/>
          <w:sz w:val="28"/>
          <w:szCs w:val="28"/>
        </w:rPr>
        <w:t>3土壤气采样</w:t>
      </w:r>
      <w:bookmarkEnd w:id="51"/>
      <w:bookmarkEnd w:id="52"/>
      <w:r>
        <w:rPr>
          <w:rFonts w:hint="eastAsia"/>
          <w:b/>
          <w:sz w:val="28"/>
          <w:szCs w:val="28"/>
        </w:rPr>
        <w:t xml:space="preserve"> </w:t>
      </w:r>
    </w:p>
    <w:p>
      <w:pPr>
        <w:adjustRightInd w:val="0"/>
        <w:snapToGrid w:val="0"/>
        <w:spacing w:line="360" w:lineRule="auto"/>
        <w:ind w:firstLine="560" w:firstLineChars="200"/>
        <w:rPr>
          <w:bCs/>
          <w:sz w:val="28"/>
          <w:szCs w:val="28"/>
        </w:rPr>
      </w:pPr>
      <w:r>
        <w:rPr>
          <w:rFonts w:hint="eastAsia"/>
          <w:bCs/>
          <w:sz w:val="28"/>
          <w:szCs w:val="28"/>
        </w:rPr>
        <w:t>土壤气样品采集方法参照《污染场地挥发性有机物调查与风险评估技术导则》（DB11/T 1278）的要求进行。</w:t>
      </w:r>
    </w:p>
    <w:p>
      <w:pPr>
        <w:adjustRightInd w:val="0"/>
        <w:snapToGrid w:val="0"/>
        <w:spacing w:line="360" w:lineRule="auto"/>
        <w:outlineLvl w:val="1"/>
        <w:rPr>
          <w:b/>
          <w:sz w:val="28"/>
          <w:szCs w:val="28"/>
        </w:rPr>
      </w:pPr>
      <w:bookmarkStart w:id="53" w:name="_Toc521504632"/>
      <w:bookmarkStart w:id="54" w:name="_Toc529200971"/>
      <w:bookmarkStart w:id="55" w:name="_Toc532386211"/>
      <w:bookmarkStart w:id="56" w:name="_Toc532386775"/>
      <w:r>
        <w:rPr>
          <w:rFonts w:hint="eastAsia"/>
          <w:b/>
          <w:sz w:val="28"/>
          <w:szCs w:val="28"/>
        </w:rPr>
        <w:t>7.4</w:t>
      </w:r>
      <w:r>
        <w:rPr>
          <w:b/>
          <w:sz w:val="28"/>
          <w:szCs w:val="28"/>
        </w:rPr>
        <w:t>样品采集质量保证和质量控制</w:t>
      </w:r>
      <w:bookmarkEnd w:id="53"/>
      <w:bookmarkEnd w:id="54"/>
      <w:bookmarkEnd w:id="55"/>
      <w:bookmarkEnd w:id="56"/>
    </w:p>
    <w:p>
      <w:pPr>
        <w:adjustRightInd w:val="0"/>
        <w:snapToGrid w:val="0"/>
        <w:spacing w:line="360" w:lineRule="auto"/>
        <w:ind w:firstLine="560" w:firstLineChars="200"/>
        <w:rPr>
          <w:sz w:val="28"/>
          <w:szCs w:val="28"/>
        </w:rPr>
      </w:pPr>
      <w:r>
        <w:rPr>
          <w:sz w:val="28"/>
          <w:szCs w:val="28"/>
        </w:rPr>
        <w:t>本项目的质量控制与管理分为采样现场质量控制与管理和样品保存及流转中质量控制两部分。</w:t>
      </w:r>
    </w:p>
    <w:p>
      <w:pPr>
        <w:pStyle w:val="5"/>
        <w:keepNext/>
        <w:keepLines/>
        <w:numPr>
          <w:ilvl w:val="2"/>
          <w:numId w:val="0"/>
        </w:numPr>
        <w:tabs>
          <w:tab w:val="left" w:pos="851"/>
        </w:tabs>
        <w:adjustRightInd w:val="0"/>
        <w:snapToGrid w:val="0"/>
        <w:spacing w:before="0" w:beforeAutospacing="0" w:after="0" w:afterAutospacing="0" w:line="360" w:lineRule="auto"/>
        <w:rPr>
          <w:sz w:val="28"/>
          <w:szCs w:val="28"/>
        </w:rPr>
      </w:pPr>
      <w:bookmarkStart w:id="57" w:name="_Toc493086928"/>
      <w:bookmarkStart w:id="58" w:name="_Toc521504633"/>
      <w:bookmarkStart w:id="59" w:name="_Toc529200972"/>
      <w:bookmarkStart w:id="60" w:name="_Toc532386212"/>
      <w:bookmarkStart w:id="61" w:name="_Toc532386776"/>
      <w:r>
        <w:rPr>
          <w:rFonts w:hint="eastAsia" w:ascii="Times New Roman" w:hAnsi="Times New Roman" w:cs="Times New Roman"/>
          <w:sz w:val="28"/>
          <w:szCs w:val="28"/>
        </w:rPr>
        <w:t>7.4</w:t>
      </w:r>
      <w:r>
        <w:rPr>
          <w:rFonts w:ascii="Times New Roman" w:hAnsi="Times New Roman" w:cs="Times New Roman"/>
          <w:sz w:val="28"/>
          <w:szCs w:val="28"/>
        </w:rPr>
        <w:t>.1</w:t>
      </w:r>
      <w:r>
        <w:rPr>
          <w:sz w:val="28"/>
          <w:szCs w:val="28"/>
        </w:rPr>
        <w:t>采样现场质量控制与管理</w:t>
      </w:r>
      <w:bookmarkEnd w:id="57"/>
      <w:bookmarkEnd w:id="58"/>
      <w:bookmarkEnd w:id="59"/>
      <w:bookmarkEnd w:id="60"/>
      <w:bookmarkEnd w:id="61"/>
    </w:p>
    <w:p>
      <w:pPr>
        <w:adjustRightInd w:val="0"/>
        <w:snapToGrid w:val="0"/>
        <w:spacing w:line="360" w:lineRule="auto"/>
        <w:ind w:firstLine="560" w:firstLineChars="200"/>
        <w:rPr>
          <w:sz w:val="28"/>
          <w:szCs w:val="28"/>
        </w:rPr>
      </w:pPr>
      <w:bookmarkStart w:id="62" w:name="_Toc493086929"/>
      <w:r>
        <w:rPr>
          <w:sz w:val="28"/>
          <w:szCs w:val="28"/>
        </w:rPr>
        <w:t>（1）现场工作负责人：根据项目负责人要求组织完成现场工作，并保证现场工作按工作方案实施。</w:t>
      </w:r>
    </w:p>
    <w:p>
      <w:pPr>
        <w:adjustRightInd w:val="0"/>
        <w:snapToGrid w:val="0"/>
        <w:spacing w:line="360" w:lineRule="auto"/>
        <w:ind w:firstLine="560" w:firstLineChars="200"/>
        <w:rPr>
          <w:sz w:val="28"/>
          <w:szCs w:val="28"/>
        </w:rPr>
      </w:pPr>
      <w:r>
        <w:rPr>
          <w:sz w:val="28"/>
          <w:szCs w:val="28"/>
        </w:rPr>
        <w:t>（2）样品管理员：与样品采集员进行沟通，负责采样容器的准备，样品记录。具体职责：保证样品编号正确，样品保存满足要求，样品包装完整。</w:t>
      </w:r>
    </w:p>
    <w:p>
      <w:pPr>
        <w:adjustRightInd w:val="0"/>
        <w:snapToGrid w:val="0"/>
        <w:spacing w:line="360" w:lineRule="auto"/>
        <w:ind w:firstLine="560" w:firstLineChars="200"/>
        <w:rPr>
          <w:sz w:val="28"/>
          <w:szCs w:val="28"/>
        </w:rPr>
      </w:pPr>
      <w:r>
        <w:rPr>
          <w:sz w:val="28"/>
          <w:szCs w:val="28"/>
        </w:rPr>
        <w:t>（3）人员培训</w:t>
      </w:r>
    </w:p>
    <w:p>
      <w:pPr>
        <w:adjustRightInd w:val="0"/>
        <w:snapToGrid w:val="0"/>
        <w:spacing w:line="360" w:lineRule="auto"/>
        <w:ind w:firstLine="560" w:firstLineChars="200"/>
        <w:rPr>
          <w:sz w:val="28"/>
          <w:szCs w:val="28"/>
        </w:rPr>
      </w:pPr>
      <w:r>
        <w:rPr>
          <w:sz w:val="28"/>
          <w:szCs w:val="28"/>
        </w:rPr>
        <w:t>项目组在内的所有参与现场工作的工作人员，均须经过培训后方可进入现场工作。培训内容包括以下几个方面：</w:t>
      </w:r>
      <w:r>
        <w:rPr>
          <w:rFonts w:hint="eastAsia" w:ascii="宋体" w:hAnsi="宋体" w:cs="宋体"/>
          <w:sz w:val="28"/>
          <w:szCs w:val="28"/>
        </w:rPr>
        <w:t>①</w:t>
      </w:r>
      <w:r>
        <w:rPr>
          <w:sz w:val="28"/>
          <w:szCs w:val="28"/>
        </w:rPr>
        <w:t>个人防护用品的使用和维护；</w:t>
      </w:r>
      <w:r>
        <w:rPr>
          <w:rFonts w:hint="eastAsia" w:ascii="宋体" w:hAnsi="宋体" w:cs="宋体"/>
          <w:sz w:val="28"/>
          <w:szCs w:val="28"/>
        </w:rPr>
        <w:t>②</w:t>
      </w:r>
      <w:r>
        <w:rPr>
          <w:sz w:val="28"/>
          <w:szCs w:val="28"/>
        </w:rPr>
        <w:t>采样设备的使用及维护；</w:t>
      </w:r>
      <w:r>
        <w:rPr>
          <w:rFonts w:hint="eastAsia" w:ascii="宋体" w:hAnsi="宋体" w:cs="宋体"/>
          <w:sz w:val="28"/>
          <w:szCs w:val="28"/>
        </w:rPr>
        <w:t>③</w:t>
      </w:r>
      <w:r>
        <w:rPr>
          <w:sz w:val="28"/>
          <w:szCs w:val="28"/>
        </w:rPr>
        <w:t>现场突发情况应急预案；</w:t>
      </w:r>
      <w:r>
        <w:rPr>
          <w:rFonts w:hint="eastAsia" w:ascii="宋体" w:hAnsi="宋体" w:cs="宋体"/>
          <w:sz w:val="28"/>
          <w:szCs w:val="28"/>
        </w:rPr>
        <w:t>④</w:t>
      </w:r>
      <w:r>
        <w:rPr>
          <w:sz w:val="28"/>
          <w:szCs w:val="28"/>
        </w:rPr>
        <w:t>避免样品交叉污染的措施；</w:t>
      </w:r>
      <w:r>
        <w:rPr>
          <w:rFonts w:hint="eastAsia" w:ascii="宋体" w:hAnsi="宋体" w:cs="宋体"/>
          <w:sz w:val="28"/>
          <w:szCs w:val="28"/>
        </w:rPr>
        <w:t>⑤</w:t>
      </w:r>
      <w:r>
        <w:rPr>
          <w:sz w:val="28"/>
          <w:szCs w:val="28"/>
        </w:rPr>
        <w:t>各项专业工作操作规程。</w:t>
      </w:r>
    </w:p>
    <w:p>
      <w:pPr>
        <w:autoSpaceDE w:val="0"/>
        <w:autoSpaceDN w:val="0"/>
        <w:adjustRightInd w:val="0"/>
        <w:snapToGrid w:val="0"/>
        <w:spacing w:line="360" w:lineRule="auto"/>
        <w:ind w:firstLine="560" w:firstLineChars="200"/>
        <w:rPr>
          <w:sz w:val="28"/>
          <w:szCs w:val="28"/>
        </w:rPr>
      </w:pPr>
      <w:r>
        <w:rPr>
          <w:rFonts w:hint="eastAsia"/>
          <w:sz w:val="28"/>
          <w:szCs w:val="28"/>
        </w:rPr>
        <w:t>（4）采样过程中的质量控制：</w:t>
      </w:r>
      <w:r>
        <w:rPr>
          <w:sz w:val="28"/>
          <w:szCs w:val="28"/>
        </w:rPr>
        <w:t>土壤、</w:t>
      </w:r>
      <w:r>
        <w:rPr>
          <w:rFonts w:hint="eastAsia"/>
          <w:sz w:val="28"/>
          <w:szCs w:val="28"/>
        </w:rPr>
        <w:t>固体废物</w:t>
      </w:r>
      <w:r>
        <w:rPr>
          <w:sz w:val="28"/>
          <w:szCs w:val="28"/>
        </w:rPr>
        <w:t>、固体物质污染物质现场采样时详细填写现场观察记录单，比如土层深度、土壤质地、气味、气象条件、采样点坐标等，采样时拍摄现场采样相片以便为分析工作提供依据。采样过程中同时应防止采样过程中的交叉污染。在使用相关器具采样过程中，每次挖掘样品前使用蒸馏水清洗干净，与土壤接触的其他采样工具在重复利用时也用蒸馏水清洗干净后再使用。同一设备在不同深度进行采样时也应当进行清洗。采样过程中采样人员不应有影响采样质量的行为，不得在采样时、样品分装时及样品密封的现场吸烟，不得随意丢弃采样过程中产生的垃圾以及可能影响土壤及地下水环境质量的物品等。采集土壤或土柱原状保留，代取样结束后统一回填。每完成一个样品的采集应更换采样手套并清洁采样工具，采样人员佩戴的手套、口罩等统一收集，集中处置。</w:t>
      </w:r>
    </w:p>
    <w:p>
      <w:pPr>
        <w:autoSpaceDE w:val="0"/>
        <w:autoSpaceDN w:val="0"/>
        <w:adjustRightInd w:val="0"/>
        <w:snapToGrid w:val="0"/>
        <w:spacing w:line="360" w:lineRule="auto"/>
        <w:ind w:firstLine="560" w:firstLineChars="200"/>
        <w:rPr>
          <w:sz w:val="28"/>
          <w:szCs w:val="28"/>
        </w:rPr>
      </w:pPr>
      <w:r>
        <w:rPr>
          <w:sz w:val="28"/>
          <w:szCs w:val="28"/>
        </w:rPr>
        <w:t>废水、废液采集时现场测定溶液pH，记录采样位置根据监测指标加入不同类型的保存剂（酸、碱等），</w:t>
      </w:r>
      <w:r>
        <w:rPr>
          <w:rFonts w:hint="eastAsia"/>
          <w:sz w:val="28"/>
          <w:szCs w:val="28"/>
        </w:rPr>
        <w:t>同时做好</w:t>
      </w:r>
      <w:r>
        <w:rPr>
          <w:sz w:val="28"/>
          <w:szCs w:val="28"/>
        </w:rPr>
        <w:t>采样记录和</w:t>
      </w:r>
      <w:r>
        <w:rPr>
          <w:rFonts w:hint="eastAsia"/>
          <w:sz w:val="28"/>
          <w:szCs w:val="28"/>
        </w:rPr>
        <w:t>填写好</w:t>
      </w:r>
      <w:r>
        <w:rPr>
          <w:sz w:val="28"/>
          <w:szCs w:val="28"/>
        </w:rPr>
        <w:t>采样标签。</w:t>
      </w:r>
      <w:r>
        <w:rPr>
          <w:rFonts w:hint="eastAsia"/>
          <w:sz w:val="28"/>
          <w:szCs w:val="28"/>
        </w:rPr>
        <w:t>为了避免污染待测样品，</w:t>
      </w:r>
      <w:r>
        <w:rPr>
          <w:sz w:val="28"/>
          <w:szCs w:val="28"/>
        </w:rPr>
        <w:t>采样前用蒸馏水清洗采样容器，然后用待测水样清洗容器2~3次后进行样品采集。</w:t>
      </w:r>
      <w:r>
        <w:rPr>
          <w:rFonts w:hint="eastAsia"/>
          <w:sz w:val="28"/>
          <w:szCs w:val="28"/>
        </w:rPr>
        <w:t>样品采集完成后及时完成密封。</w:t>
      </w:r>
    </w:p>
    <w:p>
      <w:pPr>
        <w:pStyle w:val="5"/>
        <w:keepNext/>
        <w:keepLines/>
        <w:numPr>
          <w:ilvl w:val="2"/>
          <w:numId w:val="0"/>
        </w:numPr>
        <w:tabs>
          <w:tab w:val="left" w:pos="851"/>
        </w:tabs>
        <w:adjustRightInd w:val="0"/>
        <w:snapToGrid w:val="0"/>
        <w:spacing w:before="0" w:beforeAutospacing="0" w:after="0" w:afterAutospacing="0" w:line="360" w:lineRule="auto"/>
      </w:pPr>
      <w:bookmarkStart w:id="63" w:name="_Toc521504634"/>
      <w:bookmarkStart w:id="64" w:name="_Toc529200973"/>
      <w:bookmarkStart w:id="65" w:name="_Toc532386213"/>
      <w:bookmarkStart w:id="66" w:name="_Toc532386777"/>
      <w:r>
        <w:rPr>
          <w:rFonts w:hint="eastAsia" w:ascii="Times New Roman" w:hAnsi="Times New Roman" w:cs="Times New Roman"/>
          <w:sz w:val="28"/>
          <w:szCs w:val="28"/>
        </w:rPr>
        <w:t>7.4</w:t>
      </w:r>
      <w:r>
        <w:rPr>
          <w:rFonts w:ascii="Times New Roman" w:hAnsi="Times New Roman" w:cs="Times New Roman"/>
          <w:sz w:val="28"/>
          <w:szCs w:val="28"/>
        </w:rPr>
        <w:t>.2</w:t>
      </w:r>
      <w:r>
        <w:t>样品保存及流转中质量控制</w:t>
      </w:r>
      <w:bookmarkEnd w:id="62"/>
      <w:bookmarkEnd w:id="63"/>
      <w:bookmarkEnd w:id="64"/>
      <w:bookmarkEnd w:id="65"/>
      <w:bookmarkEnd w:id="66"/>
    </w:p>
    <w:p>
      <w:pPr>
        <w:adjustRightInd w:val="0"/>
        <w:snapToGrid w:val="0"/>
        <w:spacing w:line="360" w:lineRule="auto"/>
        <w:ind w:firstLine="560" w:firstLineChars="200"/>
        <w:rPr>
          <w:sz w:val="28"/>
          <w:szCs w:val="28"/>
        </w:rPr>
      </w:pPr>
      <w:r>
        <w:rPr>
          <w:rFonts w:hint="eastAsia"/>
          <w:sz w:val="28"/>
          <w:szCs w:val="28"/>
        </w:rPr>
        <w:t>（1）装运前核对：现场采集的样品装入由采样容器中后，对采样日期、采样地点等进行记录，并在容器表面标签上进行标识，然后将</w:t>
      </w:r>
      <w:r>
        <w:rPr>
          <w:rFonts w:hint="eastAsia"/>
          <w:color w:val="000000"/>
          <w:sz w:val="28"/>
          <w:szCs w:val="28"/>
        </w:rPr>
        <w:t>转移至实验室进行自然风干</w:t>
      </w:r>
      <w:r>
        <w:rPr>
          <w:rFonts w:hint="eastAsia"/>
          <w:sz w:val="28"/>
          <w:szCs w:val="28"/>
        </w:rPr>
        <w:t>。在采样现场样品必须逐件与样品登记表、样品标签和采样记录进行核对，核对无误后分类装箱。</w:t>
      </w:r>
    </w:p>
    <w:p>
      <w:pPr>
        <w:adjustRightInd w:val="0"/>
        <w:snapToGrid w:val="0"/>
        <w:spacing w:line="360" w:lineRule="auto"/>
        <w:ind w:firstLine="560" w:firstLineChars="200"/>
        <w:rPr>
          <w:sz w:val="28"/>
          <w:szCs w:val="28"/>
        </w:rPr>
      </w:pPr>
      <w:r>
        <w:rPr>
          <w:rFonts w:hint="eastAsia"/>
          <w:sz w:val="28"/>
          <w:szCs w:val="28"/>
        </w:rPr>
        <w:t>（2）运输途中防损：运输过程中严防样品的损失、混淆和沾污。对光敏感的样品应有避光外包装。</w:t>
      </w:r>
    </w:p>
    <w:p>
      <w:pPr>
        <w:adjustRightInd w:val="0"/>
        <w:snapToGrid w:val="0"/>
        <w:spacing w:line="360" w:lineRule="auto"/>
        <w:ind w:firstLine="560" w:firstLineChars="200"/>
        <w:rPr>
          <w:sz w:val="28"/>
          <w:szCs w:val="28"/>
        </w:rPr>
      </w:pPr>
      <w:r>
        <w:rPr>
          <w:rFonts w:hint="eastAsia"/>
          <w:sz w:val="28"/>
          <w:szCs w:val="28"/>
        </w:rPr>
        <w:t>（3）样品交接：每日的采集样品由样品管理员需逐一清点，然后由专人将采样记录表与样品一同运回分析实验室，交由接样人员。送样者和接样者双方同时清点核实样品，并在样品交接单上签字确认，样品交接单由双方各存一份备查。</w:t>
      </w:r>
    </w:p>
    <w:p>
      <w:pPr>
        <w:pStyle w:val="5"/>
        <w:keepNext/>
        <w:keepLines/>
        <w:numPr>
          <w:ilvl w:val="2"/>
          <w:numId w:val="0"/>
        </w:numPr>
        <w:tabs>
          <w:tab w:val="left" w:pos="851"/>
        </w:tabs>
        <w:adjustRightInd w:val="0"/>
        <w:snapToGrid w:val="0"/>
        <w:spacing w:before="0" w:beforeAutospacing="0" w:after="0" w:afterAutospacing="0" w:line="360" w:lineRule="auto"/>
        <w:rPr>
          <w:rFonts w:ascii="Times New Roman" w:hAnsi="Times New Roman" w:cs="Times New Roman"/>
          <w:sz w:val="28"/>
          <w:szCs w:val="28"/>
        </w:rPr>
      </w:pPr>
      <w:bookmarkStart w:id="67" w:name="_Toc529200974"/>
      <w:bookmarkStart w:id="68" w:name="_Toc532386214"/>
      <w:bookmarkStart w:id="69" w:name="_Toc532386778"/>
      <w:r>
        <w:rPr>
          <w:rFonts w:hint="eastAsia" w:ascii="Times New Roman" w:hAnsi="Times New Roman" w:cs="Times New Roman"/>
          <w:sz w:val="28"/>
          <w:szCs w:val="28"/>
        </w:rPr>
        <w:t>7.4</w:t>
      </w:r>
      <w:r>
        <w:rPr>
          <w:rFonts w:ascii="Times New Roman" w:hAnsi="Times New Roman" w:cs="Times New Roman"/>
          <w:sz w:val="28"/>
          <w:szCs w:val="28"/>
        </w:rPr>
        <w:t>.</w:t>
      </w:r>
      <w:r>
        <w:rPr>
          <w:rFonts w:hint="eastAsia" w:ascii="Times New Roman" w:hAnsi="Times New Roman" w:cs="Times New Roman"/>
          <w:sz w:val="28"/>
          <w:szCs w:val="28"/>
        </w:rPr>
        <w:t>3</w:t>
      </w:r>
      <w:r>
        <w:rPr>
          <w:rFonts w:ascii="Times New Roman" w:hAnsi="Times New Roman" w:cs="Times New Roman"/>
          <w:sz w:val="28"/>
          <w:szCs w:val="28"/>
        </w:rPr>
        <w:t>样品保存方法</w:t>
      </w:r>
      <w:bookmarkEnd w:id="67"/>
      <w:bookmarkEnd w:id="68"/>
      <w:bookmarkEnd w:id="69"/>
    </w:p>
    <w:p>
      <w:pPr>
        <w:adjustRightInd w:val="0"/>
        <w:snapToGrid w:val="0"/>
        <w:spacing w:line="360" w:lineRule="auto"/>
        <w:ind w:firstLine="560" w:firstLineChars="200"/>
        <w:rPr>
          <w:sz w:val="28"/>
          <w:szCs w:val="28"/>
        </w:rPr>
      </w:pPr>
      <w:r>
        <w:rPr>
          <w:sz w:val="28"/>
          <w:szCs w:val="28"/>
        </w:rPr>
        <w:t>所有样品采集后应及时送至实验室进行分析。同时建立完整地样品追踪管理程序，包括样品的保存、运输、交接的过程的书面记录和责任归属，避免样品被错误放置、混淆及保存过期。</w:t>
      </w:r>
    </w:p>
    <w:p>
      <w:pPr>
        <w:adjustRightInd w:val="0"/>
        <w:snapToGrid w:val="0"/>
        <w:spacing w:line="360" w:lineRule="auto"/>
        <w:outlineLvl w:val="1"/>
        <w:rPr>
          <w:b/>
          <w:sz w:val="28"/>
          <w:szCs w:val="28"/>
        </w:rPr>
      </w:pPr>
      <w:bookmarkStart w:id="70" w:name="_Toc529200975"/>
      <w:bookmarkStart w:id="71" w:name="_Toc532386215"/>
      <w:bookmarkStart w:id="72" w:name="_Toc532386779"/>
      <w:r>
        <w:rPr>
          <w:rFonts w:hint="eastAsia"/>
          <w:b/>
          <w:sz w:val="28"/>
          <w:szCs w:val="28"/>
        </w:rPr>
        <w:t>7.5</w:t>
      </w:r>
      <w:r>
        <w:rPr>
          <w:b/>
          <w:sz w:val="28"/>
          <w:szCs w:val="28"/>
        </w:rPr>
        <w:t xml:space="preserve"> 实验室分析</w:t>
      </w:r>
      <w:bookmarkEnd w:id="70"/>
      <w:bookmarkEnd w:id="71"/>
      <w:bookmarkEnd w:id="72"/>
    </w:p>
    <w:p>
      <w:pPr>
        <w:adjustRightInd w:val="0"/>
        <w:snapToGrid w:val="0"/>
        <w:spacing w:line="360" w:lineRule="auto"/>
        <w:ind w:firstLine="560" w:firstLineChars="200"/>
        <w:rPr>
          <w:sz w:val="28"/>
          <w:szCs w:val="28"/>
        </w:rPr>
      </w:pPr>
      <w:r>
        <w:rPr>
          <w:sz w:val="28"/>
          <w:szCs w:val="28"/>
        </w:rPr>
        <w:t>样品检测方法：按《土壤环境监测技术规范》(HJ/T 166-2004)、《场地环境监测技术导则》（HJ25.2-2014）</w:t>
      </w:r>
      <w:r>
        <w:rPr>
          <w:rFonts w:hint="eastAsia"/>
          <w:sz w:val="28"/>
          <w:szCs w:val="28"/>
        </w:rPr>
        <w:t>、《土壤环境质量</w:t>
      </w:r>
      <w:r>
        <w:rPr>
          <w:sz w:val="28"/>
          <w:szCs w:val="28"/>
        </w:rPr>
        <w:t xml:space="preserve"> </w:t>
      </w:r>
      <w:r>
        <w:rPr>
          <w:rFonts w:hint="eastAsia"/>
          <w:sz w:val="28"/>
          <w:szCs w:val="28"/>
        </w:rPr>
        <w:t>建设用地土壤污染风险管控标准（试行）》（</w:t>
      </w:r>
      <w:r>
        <w:rPr>
          <w:sz w:val="28"/>
          <w:szCs w:val="28"/>
        </w:rPr>
        <w:t>GB36600-2018</w:t>
      </w:r>
      <w:r>
        <w:rPr>
          <w:rFonts w:hint="eastAsia"/>
          <w:sz w:val="28"/>
          <w:szCs w:val="28"/>
        </w:rPr>
        <w:t>）、《地下水环境监测技术规范》(HJ/T 164-2004)以及《地下水质量标准》（GB/T 14848-2017）</w:t>
      </w:r>
      <w:r>
        <w:rPr>
          <w:sz w:val="28"/>
          <w:szCs w:val="28"/>
        </w:rPr>
        <w:t>中所列方法进行样品相应监测项目的检测。</w:t>
      </w:r>
    </w:p>
    <w:p>
      <w:pPr>
        <w:adjustRightInd w:val="0"/>
        <w:snapToGrid w:val="0"/>
        <w:spacing w:line="360" w:lineRule="auto"/>
        <w:ind w:firstLine="560" w:firstLineChars="200"/>
        <w:rPr>
          <w:sz w:val="28"/>
          <w:szCs w:val="28"/>
        </w:rPr>
      </w:pPr>
      <w:r>
        <w:rPr>
          <w:sz w:val="28"/>
          <w:szCs w:val="28"/>
        </w:rPr>
        <w:t>对不同类型的样品及污染物均采用相对应的国家标准分析方法进行检测。对检测出现异常的数据进行复测，以确保检测数据的准确性。</w:t>
      </w:r>
    </w:p>
    <w:p>
      <w:pPr>
        <w:adjustRightInd w:val="0"/>
        <w:snapToGrid w:val="0"/>
        <w:spacing w:line="360" w:lineRule="auto"/>
        <w:ind w:firstLine="560" w:firstLineChars="200"/>
        <w:rPr>
          <w:bCs/>
          <w:sz w:val="28"/>
          <w:szCs w:val="28"/>
        </w:rPr>
      </w:pPr>
    </w:p>
    <w:p>
      <w:pPr>
        <w:adjustRightInd w:val="0"/>
        <w:snapToGrid w:val="0"/>
        <w:spacing w:line="360" w:lineRule="auto"/>
        <w:ind w:firstLine="562" w:firstLineChars="200"/>
        <w:rPr>
          <w:b/>
          <w:bCs/>
          <w:sz w:val="28"/>
          <w:szCs w:val="28"/>
        </w:rPr>
      </w:pPr>
    </w:p>
    <w:sectPr>
      <w:headerReference r:id="rId16"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sdt>
      <w:sdtPr>
        <w:id w:val="20061126"/>
        <w:docPartObj>
          <w:docPartGallery w:val="AutoText"/>
        </w:docPartObj>
      </w:sdtPr>
      <w:sdtContent>
        <w:r>
          <w:fldChar w:fldCharType="begin"/>
        </w:r>
        <w:r>
          <w:instrText xml:space="preserve"> PAGE   \* MERGEFORMAT </w:instrText>
        </w:r>
        <w:r>
          <w:fldChar w:fldCharType="separate"/>
        </w:r>
        <w:r>
          <w:rPr>
            <w:lang w:val="zh-CN"/>
          </w:rPr>
          <w:t>39</w:t>
        </w:r>
        <w:r>
          <w:rPr>
            <w:lang w:val="zh-CN"/>
          </w:rPr>
          <w:fldChar w:fldCharType="end"/>
        </w:r>
      </w:sdtContent>
    </w:sdt>
  </w:p>
  <w:p>
    <w:pPr>
      <w:pStyle w:val="1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1</w:t>
    </w:r>
    <w:r>
      <w:rPr>
        <w:lang w:val="zh-CN"/>
      </w:rPr>
      <w:fldChar w:fldCharType="end"/>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t>41</w: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峨眉山宏昇药业股份有限公司土壤环境自行监测方案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峨眉山宏昇药业股份有限公司土壤环境自行监测方案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峨眉山宏昇药业股份有限公司土壤环境自行监测方案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97710"/>
    <w:multiLevelType w:val="singleLevel"/>
    <w:tmpl w:val="5919771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F3"/>
    <w:rsid w:val="000011EA"/>
    <w:rsid w:val="00002C49"/>
    <w:rsid w:val="00005D1C"/>
    <w:rsid w:val="000109DE"/>
    <w:rsid w:val="000112D0"/>
    <w:rsid w:val="000137BB"/>
    <w:rsid w:val="00016812"/>
    <w:rsid w:val="00021688"/>
    <w:rsid w:val="00021A58"/>
    <w:rsid w:val="00022B65"/>
    <w:rsid w:val="0002385C"/>
    <w:rsid w:val="00024B29"/>
    <w:rsid w:val="0002572F"/>
    <w:rsid w:val="00025AD8"/>
    <w:rsid w:val="000277A9"/>
    <w:rsid w:val="00027AF4"/>
    <w:rsid w:val="00030097"/>
    <w:rsid w:val="00030464"/>
    <w:rsid w:val="0003177D"/>
    <w:rsid w:val="00032859"/>
    <w:rsid w:val="00035B12"/>
    <w:rsid w:val="00037D4B"/>
    <w:rsid w:val="000402DB"/>
    <w:rsid w:val="000439DF"/>
    <w:rsid w:val="00044C72"/>
    <w:rsid w:val="00045B4A"/>
    <w:rsid w:val="000467D6"/>
    <w:rsid w:val="00051632"/>
    <w:rsid w:val="00061CD6"/>
    <w:rsid w:val="00061D65"/>
    <w:rsid w:val="00064719"/>
    <w:rsid w:val="00065EA6"/>
    <w:rsid w:val="00070CAB"/>
    <w:rsid w:val="0007165E"/>
    <w:rsid w:val="00073687"/>
    <w:rsid w:val="0007400A"/>
    <w:rsid w:val="00074EDA"/>
    <w:rsid w:val="00074F27"/>
    <w:rsid w:val="00084EC7"/>
    <w:rsid w:val="00086324"/>
    <w:rsid w:val="00092199"/>
    <w:rsid w:val="00093F59"/>
    <w:rsid w:val="000948AD"/>
    <w:rsid w:val="00097A81"/>
    <w:rsid w:val="000A064A"/>
    <w:rsid w:val="000A5AD4"/>
    <w:rsid w:val="000A6EA3"/>
    <w:rsid w:val="000B12C2"/>
    <w:rsid w:val="000B4E42"/>
    <w:rsid w:val="000B506E"/>
    <w:rsid w:val="000B5B5A"/>
    <w:rsid w:val="000C084E"/>
    <w:rsid w:val="000C11D7"/>
    <w:rsid w:val="000C2B3B"/>
    <w:rsid w:val="000C6807"/>
    <w:rsid w:val="000C7C0D"/>
    <w:rsid w:val="000D0915"/>
    <w:rsid w:val="000D5702"/>
    <w:rsid w:val="000D5FA8"/>
    <w:rsid w:val="000D7EDA"/>
    <w:rsid w:val="000D7FF9"/>
    <w:rsid w:val="000E158A"/>
    <w:rsid w:val="000E2134"/>
    <w:rsid w:val="000E30C5"/>
    <w:rsid w:val="000E37C3"/>
    <w:rsid w:val="000E388E"/>
    <w:rsid w:val="000F017A"/>
    <w:rsid w:val="000F3A78"/>
    <w:rsid w:val="000F3F5D"/>
    <w:rsid w:val="000F40F2"/>
    <w:rsid w:val="000F471D"/>
    <w:rsid w:val="000F5D06"/>
    <w:rsid w:val="0010064D"/>
    <w:rsid w:val="00100CFF"/>
    <w:rsid w:val="00105A95"/>
    <w:rsid w:val="0010698D"/>
    <w:rsid w:val="00107C8C"/>
    <w:rsid w:val="001100E1"/>
    <w:rsid w:val="0011127F"/>
    <w:rsid w:val="0011164A"/>
    <w:rsid w:val="00112A69"/>
    <w:rsid w:val="001138B8"/>
    <w:rsid w:val="00113927"/>
    <w:rsid w:val="001152BB"/>
    <w:rsid w:val="00120260"/>
    <w:rsid w:val="00120AF2"/>
    <w:rsid w:val="001214D0"/>
    <w:rsid w:val="0012208A"/>
    <w:rsid w:val="0012335D"/>
    <w:rsid w:val="00125564"/>
    <w:rsid w:val="00126E4C"/>
    <w:rsid w:val="00127993"/>
    <w:rsid w:val="00131640"/>
    <w:rsid w:val="001348E4"/>
    <w:rsid w:val="00135118"/>
    <w:rsid w:val="001366E1"/>
    <w:rsid w:val="00137A0D"/>
    <w:rsid w:val="00137B62"/>
    <w:rsid w:val="001400A9"/>
    <w:rsid w:val="00140CCC"/>
    <w:rsid w:val="00143341"/>
    <w:rsid w:val="0014636E"/>
    <w:rsid w:val="001478DA"/>
    <w:rsid w:val="00150B86"/>
    <w:rsid w:val="00150D63"/>
    <w:rsid w:val="001546CC"/>
    <w:rsid w:val="00155191"/>
    <w:rsid w:val="001563F9"/>
    <w:rsid w:val="00156852"/>
    <w:rsid w:val="00157E61"/>
    <w:rsid w:val="00160144"/>
    <w:rsid w:val="00165BA9"/>
    <w:rsid w:val="00166EDD"/>
    <w:rsid w:val="00167999"/>
    <w:rsid w:val="00167D48"/>
    <w:rsid w:val="00172855"/>
    <w:rsid w:val="00172D1A"/>
    <w:rsid w:val="00173F56"/>
    <w:rsid w:val="001808A5"/>
    <w:rsid w:val="00183685"/>
    <w:rsid w:val="00183EE8"/>
    <w:rsid w:val="0018417A"/>
    <w:rsid w:val="00184699"/>
    <w:rsid w:val="00184E28"/>
    <w:rsid w:val="001850C1"/>
    <w:rsid w:val="001853A9"/>
    <w:rsid w:val="001854EF"/>
    <w:rsid w:val="001902D8"/>
    <w:rsid w:val="00191C6D"/>
    <w:rsid w:val="00195ED8"/>
    <w:rsid w:val="001961A4"/>
    <w:rsid w:val="001975FD"/>
    <w:rsid w:val="001A0408"/>
    <w:rsid w:val="001A096E"/>
    <w:rsid w:val="001A751E"/>
    <w:rsid w:val="001B1927"/>
    <w:rsid w:val="001B4799"/>
    <w:rsid w:val="001B5B44"/>
    <w:rsid w:val="001B618C"/>
    <w:rsid w:val="001C1F5D"/>
    <w:rsid w:val="001C2041"/>
    <w:rsid w:val="001C3665"/>
    <w:rsid w:val="001C39DF"/>
    <w:rsid w:val="001C3BAB"/>
    <w:rsid w:val="001C40EA"/>
    <w:rsid w:val="001C55FF"/>
    <w:rsid w:val="001C7696"/>
    <w:rsid w:val="001E3052"/>
    <w:rsid w:val="001E41FE"/>
    <w:rsid w:val="001F004B"/>
    <w:rsid w:val="001F2F9B"/>
    <w:rsid w:val="001F576C"/>
    <w:rsid w:val="001F7170"/>
    <w:rsid w:val="00207ED0"/>
    <w:rsid w:val="00210224"/>
    <w:rsid w:val="00210852"/>
    <w:rsid w:val="00212236"/>
    <w:rsid w:val="00213EFF"/>
    <w:rsid w:val="0021534D"/>
    <w:rsid w:val="00217FB4"/>
    <w:rsid w:val="00220029"/>
    <w:rsid w:val="00220992"/>
    <w:rsid w:val="00221A26"/>
    <w:rsid w:val="00224181"/>
    <w:rsid w:val="00224189"/>
    <w:rsid w:val="0022547A"/>
    <w:rsid w:val="0022567F"/>
    <w:rsid w:val="0022726F"/>
    <w:rsid w:val="0023181C"/>
    <w:rsid w:val="00231EE5"/>
    <w:rsid w:val="00232998"/>
    <w:rsid w:val="00232FE6"/>
    <w:rsid w:val="00236FBD"/>
    <w:rsid w:val="00240D09"/>
    <w:rsid w:val="0024479C"/>
    <w:rsid w:val="002460BD"/>
    <w:rsid w:val="00250487"/>
    <w:rsid w:val="00251060"/>
    <w:rsid w:val="00253E32"/>
    <w:rsid w:val="00253F06"/>
    <w:rsid w:val="002558CA"/>
    <w:rsid w:val="00255A9B"/>
    <w:rsid w:val="0026084C"/>
    <w:rsid w:val="0026110C"/>
    <w:rsid w:val="00262B66"/>
    <w:rsid w:val="002644A1"/>
    <w:rsid w:val="0026638D"/>
    <w:rsid w:val="00270C6D"/>
    <w:rsid w:val="002713E9"/>
    <w:rsid w:val="0027157C"/>
    <w:rsid w:val="002720E3"/>
    <w:rsid w:val="002727AA"/>
    <w:rsid w:val="00273866"/>
    <w:rsid w:val="00276C17"/>
    <w:rsid w:val="002778DC"/>
    <w:rsid w:val="002801CE"/>
    <w:rsid w:val="002805A8"/>
    <w:rsid w:val="002809E9"/>
    <w:rsid w:val="00281A8D"/>
    <w:rsid w:val="00285216"/>
    <w:rsid w:val="002914CE"/>
    <w:rsid w:val="00293685"/>
    <w:rsid w:val="00294228"/>
    <w:rsid w:val="00294C54"/>
    <w:rsid w:val="002A2C8C"/>
    <w:rsid w:val="002A3FD3"/>
    <w:rsid w:val="002A4277"/>
    <w:rsid w:val="002B6DC2"/>
    <w:rsid w:val="002C4F54"/>
    <w:rsid w:val="002C5E1B"/>
    <w:rsid w:val="002C62D9"/>
    <w:rsid w:val="002D1495"/>
    <w:rsid w:val="002D23CE"/>
    <w:rsid w:val="002D3F19"/>
    <w:rsid w:val="002D4566"/>
    <w:rsid w:val="002D5220"/>
    <w:rsid w:val="002D6AEE"/>
    <w:rsid w:val="002E3A51"/>
    <w:rsid w:val="002E3A89"/>
    <w:rsid w:val="002E4D00"/>
    <w:rsid w:val="002F4397"/>
    <w:rsid w:val="002F465C"/>
    <w:rsid w:val="002F4A10"/>
    <w:rsid w:val="002F6427"/>
    <w:rsid w:val="00300A41"/>
    <w:rsid w:val="00301852"/>
    <w:rsid w:val="00303767"/>
    <w:rsid w:val="00304787"/>
    <w:rsid w:val="00315162"/>
    <w:rsid w:val="00315365"/>
    <w:rsid w:val="00316007"/>
    <w:rsid w:val="00316B9A"/>
    <w:rsid w:val="00316DA0"/>
    <w:rsid w:val="003178A9"/>
    <w:rsid w:val="00320AB3"/>
    <w:rsid w:val="00320C93"/>
    <w:rsid w:val="00323D4C"/>
    <w:rsid w:val="00325EA6"/>
    <w:rsid w:val="0033131D"/>
    <w:rsid w:val="003314CF"/>
    <w:rsid w:val="00331645"/>
    <w:rsid w:val="003324BB"/>
    <w:rsid w:val="00334DE6"/>
    <w:rsid w:val="00337229"/>
    <w:rsid w:val="0034010C"/>
    <w:rsid w:val="00342333"/>
    <w:rsid w:val="00342CEE"/>
    <w:rsid w:val="00343F96"/>
    <w:rsid w:val="00344E07"/>
    <w:rsid w:val="00345001"/>
    <w:rsid w:val="00352210"/>
    <w:rsid w:val="003538D0"/>
    <w:rsid w:val="003577DB"/>
    <w:rsid w:val="0035780F"/>
    <w:rsid w:val="00363AA4"/>
    <w:rsid w:val="00363BC6"/>
    <w:rsid w:val="00372DAE"/>
    <w:rsid w:val="003749EC"/>
    <w:rsid w:val="00376196"/>
    <w:rsid w:val="00380A17"/>
    <w:rsid w:val="003827E1"/>
    <w:rsid w:val="00383FA0"/>
    <w:rsid w:val="00384F0C"/>
    <w:rsid w:val="003864BD"/>
    <w:rsid w:val="00387B74"/>
    <w:rsid w:val="003922FB"/>
    <w:rsid w:val="00397359"/>
    <w:rsid w:val="003A0631"/>
    <w:rsid w:val="003A0B6A"/>
    <w:rsid w:val="003A11E3"/>
    <w:rsid w:val="003A14B6"/>
    <w:rsid w:val="003A1B0D"/>
    <w:rsid w:val="003A4268"/>
    <w:rsid w:val="003A4FCB"/>
    <w:rsid w:val="003A529C"/>
    <w:rsid w:val="003A7FE6"/>
    <w:rsid w:val="003B2BA8"/>
    <w:rsid w:val="003B56A8"/>
    <w:rsid w:val="003C29AA"/>
    <w:rsid w:val="003C4AA5"/>
    <w:rsid w:val="003C56D5"/>
    <w:rsid w:val="003C6220"/>
    <w:rsid w:val="003C7DEC"/>
    <w:rsid w:val="003D076C"/>
    <w:rsid w:val="003D0B32"/>
    <w:rsid w:val="003D3898"/>
    <w:rsid w:val="003D54BD"/>
    <w:rsid w:val="003D6AAE"/>
    <w:rsid w:val="003E0788"/>
    <w:rsid w:val="003E0E04"/>
    <w:rsid w:val="003E1516"/>
    <w:rsid w:val="003E45DA"/>
    <w:rsid w:val="003E4637"/>
    <w:rsid w:val="003E51B7"/>
    <w:rsid w:val="003E6B07"/>
    <w:rsid w:val="003E70A9"/>
    <w:rsid w:val="003E73DA"/>
    <w:rsid w:val="003F00AD"/>
    <w:rsid w:val="003F1BDA"/>
    <w:rsid w:val="003F362A"/>
    <w:rsid w:val="003F4A17"/>
    <w:rsid w:val="003F526B"/>
    <w:rsid w:val="003F7C09"/>
    <w:rsid w:val="00400103"/>
    <w:rsid w:val="004011DF"/>
    <w:rsid w:val="0040129C"/>
    <w:rsid w:val="0040307E"/>
    <w:rsid w:val="00403F60"/>
    <w:rsid w:val="004059B9"/>
    <w:rsid w:val="00407C66"/>
    <w:rsid w:val="00407C68"/>
    <w:rsid w:val="00414384"/>
    <w:rsid w:val="0041529D"/>
    <w:rsid w:val="0041560B"/>
    <w:rsid w:val="004178B9"/>
    <w:rsid w:val="004205BB"/>
    <w:rsid w:val="004207D7"/>
    <w:rsid w:val="00422BF3"/>
    <w:rsid w:val="00425502"/>
    <w:rsid w:val="00426715"/>
    <w:rsid w:val="00433A51"/>
    <w:rsid w:val="00434F5D"/>
    <w:rsid w:val="00436535"/>
    <w:rsid w:val="00437740"/>
    <w:rsid w:val="00437A26"/>
    <w:rsid w:val="00441423"/>
    <w:rsid w:val="004423DF"/>
    <w:rsid w:val="00442B3B"/>
    <w:rsid w:val="00445A1F"/>
    <w:rsid w:val="004467B7"/>
    <w:rsid w:val="00451FB0"/>
    <w:rsid w:val="00452374"/>
    <w:rsid w:val="00452629"/>
    <w:rsid w:val="00454320"/>
    <w:rsid w:val="00454F57"/>
    <w:rsid w:val="00455052"/>
    <w:rsid w:val="00455849"/>
    <w:rsid w:val="00456639"/>
    <w:rsid w:val="00456B73"/>
    <w:rsid w:val="004571E8"/>
    <w:rsid w:val="00460CB9"/>
    <w:rsid w:val="0046333F"/>
    <w:rsid w:val="004633A1"/>
    <w:rsid w:val="00466AEC"/>
    <w:rsid w:val="004722D5"/>
    <w:rsid w:val="0047467D"/>
    <w:rsid w:val="00474A57"/>
    <w:rsid w:val="004779FE"/>
    <w:rsid w:val="00480AD6"/>
    <w:rsid w:val="0048120E"/>
    <w:rsid w:val="0048159A"/>
    <w:rsid w:val="004854A1"/>
    <w:rsid w:val="004856C9"/>
    <w:rsid w:val="0048689F"/>
    <w:rsid w:val="00491398"/>
    <w:rsid w:val="004945B2"/>
    <w:rsid w:val="004974BF"/>
    <w:rsid w:val="00497993"/>
    <w:rsid w:val="004A03DD"/>
    <w:rsid w:val="004A6218"/>
    <w:rsid w:val="004A6226"/>
    <w:rsid w:val="004B1410"/>
    <w:rsid w:val="004B34B1"/>
    <w:rsid w:val="004B3A04"/>
    <w:rsid w:val="004B41E8"/>
    <w:rsid w:val="004B6275"/>
    <w:rsid w:val="004C56F2"/>
    <w:rsid w:val="004C5D60"/>
    <w:rsid w:val="004D0A8C"/>
    <w:rsid w:val="004D297A"/>
    <w:rsid w:val="004D5488"/>
    <w:rsid w:val="004D7FDE"/>
    <w:rsid w:val="004E041F"/>
    <w:rsid w:val="004E06A7"/>
    <w:rsid w:val="004E1172"/>
    <w:rsid w:val="004E2233"/>
    <w:rsid w:val="004E2A27"/>
    <w:rsid w:val="004E2C33"/>
    <w:rsid w:val="004E52C0"/>
    <w:rsid w:val="004E5434"/>
    <w:rsid w:val="004E562E"/>
    <w:rsid w:val="004E6132"/>
    <w:rsid w:val="004F2862"/>
    <w:rsid w:val="004F2E1D"/>
    <w:rsid w:val="004F3F9B"/>
    <w:rsid w:val="004F41DA"/>
    <w:rsid w:val="004F5890"/>
    <w:rsid w:val="004F5F1C"/>
    <w:rsid w:val="004F5FD2"/>
    <w:rsid w:val="00501222"/>
    <w:rsid w:val="00501756"/>
    <w:rsid w:val="005017F6"/>
    <w:rsid w:val="005034C3"/>
    <w:rsid w:val="0050499E"/>
    <w:rsid w:val="005074BE"/>
    <w:rsid w:val="00511CA3"/>
    <w:rsid w:val="005124D9"/>
    <w:rsid w:val="0051324F"/>
    <w:rsid w:val="00513EE6"/>
    <w:rsid w:val="0051465A"/>
    <w:rsid w:val="00515424"/>
    <w:rsid w:val="00516565"/>
    <w:rsid w:val="00523A73"/>
    <w:rsid w:val="00523B76"/>
    <w:rsid w:val="005272D2"/>
    <w:rsid w:val="005313E3"/>
    <w:rsid w:val="00534488"/>
    <w:rsid w:val="005346FB"/>
    <w:rsid w:val="00534D96"/>
    <w:rsid w:val="0053573B"/>
    <w:rsid w:val="0054065C"/>
    <w:rsid w:val="00540F72"/>
    <w:rsid w:val="0054167F"/>
    <w:rsid w:val="00542BFB"/>
    <w:rsid w:val="0054403C"/>
    <w:rsid w:val="00545231"/>
    <w:rsid w:val="00545E62"/>
    <w:rsid w:val="0054790E"/>
    <w:rsid w:val="00547AAE"/>
    <w:rsid w:val="00550E35"/>
    <w:rsid w:val="00550F6E"/>
    <w:rsid w:val="005542DB"/>
    <w:rsid w:val="0055542B"/>
    <w:rsid w:val="00557001"/>
    <w:rsid w:val="00562549"/>
    <w:rsid w:val="00562B0C"/>
    <w:rsid w:val="00563ED3"/>
    <w:rsid w:val="005661FC"/>
    <w:rsid w:val="0056760E"/>
    <w:rsid w:val="0057521C"/>
    <w:rsid w:val="00575911"/>
    <w:rsid w:val="00575A7B"/>
    <w:rsid w:val="00581C15"/>
    <w:rsid w:val="005836F5"/>
    <w:rsid w:val="00584094"/>
    <w:rsid w:val="00584284"/>
    <w:rsid w:val="005901E9"/>
    <w:rsid w:val="005905AE"/>
    <w:rsid w:val="00590C9F"/>
    <w:rsid w:val="00596307"/>
    <w:rsid w:val="0059718F"/>
    <w:rsid w:val="005A0A18"/>
    <w:rsid w:val="005A0A75"/>
    <w:rsid w:val="005A3FF4"/>
    <w:rsid w:val="005A4381"/>
    <w:rsid w:val="005A7426"/>
    <w:rsid w:val="005A77A8"/>
    <w:rsid w:val="005B0FAB"/>
    <w:rsid w:val="005B114E"/>
    <w:rsid w:val="005B4EC7"/>
    <w:rsid w:val="005B5385"/>
    <w:rsid w:val="005B5772"/>
    <w:rsid w:val="005C0138"/>
    <w:rsid w:val="005C186E"/>
    <w:rsid w:val="005C4F3B"/>
    <w:rsid w:val="005D0F2F"/>
    <w:rsid w:val="005D11C0"/>
    <w:rsid w:val="005D17B4"/>
    <w:rsid w:val="005D268C"/>
    <w:rsid w:val="005D4EBB"/>
    <w:rsid w:val="005D632F"/>
    <w:rsid w:val="005D79AC"/>
    <w:rsid w:val="005E121A"/>
    <w:rsid w:val="005E2C10"/>
    <w:rsid w:val="005E2CFC"/>
    <w:rsid w:val="005E448A"/>
    <w:rsid w:val="005F06E8"/>
    <w:rsid w:val="005F2F90"/>
    <w:rsid w:val="005F322E"/>
    <w:rsid w:val="005F3715"/>
    <w:rsid w:val="005F7736"/>
    <w:rsid w:val="005F78C8"/>
    <w:rsid w:val="00600545"/>
    <w:rsid w:val="0060532D"/>
    <w:rsid w:val="00607169"/>
    <w:rsid w:val="00610CAA"/>
    <w:rsid w:val="006113CF"/>
    <w:rsid w:val="00612710"/>
    <w:rsid w:val="0061284E"/>
    <w:rsid w:val="00612BCE"/>
    <w:rsid w:val="00620AC4"/>
    <w:rsid w:val="006213D3"/>
    <w:rsid w:val="006221D0"/>
    <w:rsid w:val="00622E61"/>
    <w:rsid w:val="00625962"/>
    <w:rsid w:val="006261A5"/>
    <w:rsid w:val="00630B89"/>
    <w:rsid w:val="00630BB6"/>
    <w:rsid w:val="00644A4E"/>
    <w:rsid w:val="006470E2"/>
    <w:rsid w:val="00647EB5"/>
    <w:rsid w:val="00651935"/>
    <w:rsid w:val="00654A80"/>
    <w:rsid w:val="00654A87"/>
    <w:rsid w:val="006616C6"/>
    <w:rsid w:val="006628AA"/>
    <w:rsid w:val="006631FD"/>
    <w:rsid w:val="00663823"/>
    <w:rsid w:val="00665DE7"/>
    <w:rsid w:val="00666012"/>
    <w:rsid w:val="00666BF0"/>
    <w:rsid w:val="00667370"/>
    <w:rsid w:val="0066763D"/>
    <w:rsid w:val="00670561"/>
    <w:rsid w:val="006741EC"/>
    <w:rsid w:val="0067662E"/>
    <w:rsid w:val="00677CBA"/>
    <w:rsid w:val="006811BB"/>
    <w:rsid w:val="0068312F"/>
    <w:rsid w:val="00684572"/>
    <w:rsid w:val="00685050"/>
    <w:rsid w:val="006859C3"/>
    <w:rsid w:val="00687B7A"/>
    <w:rsid w:val="00691401"/>
    <w:rsid w:val="006918D6"/>
    <w:rsid w:val="00692C4A"/>
    <w:rsid w:val="006A2CDA"/>
    <w:rsid w:val="006A3A48"/>
    <w:rsid w:val="006A4517"/>
    <w:rsid w:val="006A5235"/>
    <w:rsid w:val="006A79B4"/>
    <w:rsid w:val="006B0A0A"/>
    <w:rsid w:val="006B2587"/>
    <w:rsid w:val="006B3BF5"/>
    <w:rsid w:val="006C335D"/>
    <w:rsid w:val="006C5175"/>
    <w:rsid w:val="006C5F28"/>
    <w:rsid w:val="006C6F40"/>
    <w:rsid w:val="006D05AF"/>
    <w:rsid w:val="006D287B"/>
    <w:rsid w:val="006D330E"/>
    <w:rsid w:val="006D47A4"/>
    <w:rsid w:val="006D6C86"/>
    <w:rsid w:val="006E0594"/>
    <w:rsid w:val="006E05A8"/>
    <w:rsid w:val="006E24AA"/>
    <w:rsid w:val="006E2520"/>
    <w:rsid w:val="006E305D"/>
    <w:rsid w:val="006E5253"/>
    <w:rsid w:val="006E62A9"/>
    <w:rsid w:val="006E666A"/>
    <w:rsid w:val="006E7FCA"/>
    <w:rsid w:val="006F083C"/>
    <w:rsid w:val="006F19C8"/>
    <w:rsid w:val="006F33FB"/>
    <w:rsid w:val="006F38CD"/>
    <w:rsid w:val="006F5DA4"/>
    <w:rsid w:val="006F6220"/>
    <w:rsid w:val="00700756"/>
    <w:rsid w:val="00700873"/>
    <w:rsid w:val="00700CC5"/>
    <w:rsid w:val="0070235A"/>
    <w:rsid w:val="00702738"/>
    <w:rsid w:val="00710889"/>
    <w:rsid w:val="007120E5"/>
    <w:rsid w:val="007123F5"/>
    <w:rsid w:val="00715C4D"/>
    <w:rsid w:val="00716DEF"/>
    <w:rsid w:val="007239F7"/>
    <w:rsid w:val="00723F55"/>
    <w:rsid w:val="00724180"/>
    <w:rsid w:val="00724C92"/>
    <w:rsid w:val="00725AA2"/>
    <w:rsid w:val="0072653A"/>
    <w:rsid w:val="0072736B"/>
    <w:rsid w:val="0073291D"/>
    <w:rsid w:val="00732F12"/>
    <w:rsid w:val="00735DAE"/>
    <w:rsid w:val="00736591"/>
    <w:rsid w:val="00736FF6"/>
    <w:rsid w:val="00740879"/>
    <w:rsid w:val="00742F09"/>
    <w:rsid w:val="00744342"/>
    <w:rsid w:val="00750A26"/>
    <w:rsid w:val="00752FAA"/>
    <w:rsid w:val="00753896"/>
    <w:rsid w:val="00753DE6"/>
    <w:rsid w:val="00754A16"/>
    <w:rsid w:val="0076103F"/>
    <w:rsid w:val="0076143C"/>
    <w:rsid w:val="00763E51"/>
    <w:rsid w:val="00767272"/>
    <w:rsid w:val="00767D4E"/>
    <w:rsid w:val="00773E1E"/>
    <w:rsid w:val="00773EF3"/>
    <w:rsid w:val="00773F02"/>
    <w:rsid w:val="00774A05"/>
    <w:rsid w:val="00776269"/>
    <w:rsid w:val="007769BA"/>
    <w:rsid w:val="007827D0"/>
    <w:rsid w:val="0078558C"/>
    <w:rsid w:val="00787172"/>
    <w:rsid w:val="00790B36"/>
    <w:rsid w:val="007928B5"/>
    <w:rsid w:val="00793B27"/>
    <w:rsid w:val="00793B88"/>
    <w:rsid w:val="00795480"/>
    <w:rsid w:val="00795D81"/>
    <w:rsid w:val="00796E6C"/>
    <w:rsid w:val="007A1906"/>
    <w:rsid w:val="007A237D"/>
    <w:rsid w:val="007A2472"/>
    <w:rsid w:val="007A37AF"/>
    <w:rsid w:val="007A444D"/>
    <w:rsid w:val="007A4EA6"/>
    <w:rsid w:val="007A5CFA"/>
    <w:rsid w:val="007A6D61"/>
    <w:rsid w:val="007B48BB"/>
    <w:rsid w:val="007C4CC4"/>
    <w:rsid w:val="007D0447"/>
    <w:rsid w:val="007D16A4"/>
    <w:rsid w:val="007D75EB"/>
    <w:rsid w:val="007D7DC6"/>
    <w:rsid w:val="007E2217"/>
    <w:rsid w:val="007E2300"/>
    <w:rsid w:val="007E5923"/>
    <w:rsid w:val="008001EE"/>
    <w:rsid w:val="00800D5A"/>
    <w:rsid w:val="008014DF"/>
    <w:rsid w:val="0080197A"/>
    <w:rsid w:val="0080310C"/>
    <w:rsid w:val="00804C18"/>
    <w:rsid w:val="0080604C"/>
    <w:rsid w:val="00811AD8"/>
    <w:rsid w:val="00812A5A"/>
    <w:rsid w:val="008144DE"/>
    <w:rsid w:val="008145C3"/>
    <w:rsid w:val="00814B80"/>
    <w:rsid w:val="008153D8"/>
    <w:rsid w:val="00815793"/>
    <w:rsid w:val="0081690D"/>
    <w:rsid w:val="0081736D"/>
    <w:rsid w:val="00820647"/>
    <w:rsid w:val="008208D9"/>
    <w:rsid w:val="00822D22"/>
    <w:rsid w:val="00824075"/>
    <w:rsid w:val="0082594C"/>
    <w:rsid w:val="0082595C"/>
    <w:rsid w:val="00831894"/>
    <w:rsid w:val="0083424B"/>
    <w:rsid w:val="00834E16"/>
    <w:rsid w:val="00837ED1"/>
    <w:rsid w:val="00840061"/>
    <w:rsid w:val="00841442"/>
    <w:rsid w:val="00844C89"/>
    <w:rsid w:val="008470A2"/>
    <w:rsid w:val="008472D3"/>
    <w:rsid w:val="008475E9"/>
    <w:rsid w:val="00854C91"/>
    <w:rsid w:val="00855223"/>
    <w:rsid w:val="00862872"/>
    <w:rsid w:val="00865F92"/>
    <w:rsid w:val="00866FFD"/>
    <w:rsid w:val="00870AFB"/>
    <w:rsid w:val="00871F02"/>
    <w:rsid w:val="008723D5"/>
    <w:rsid w:val="00872B7B"/>
    <w:rsid w:val="00874B72"/>
    <w:rsid w:val="00875934"/>
    <w:rsid w:val="00876221"/>
    <w:rsid w:val="00876F00"/>
    <w:rsid w:val="0088261A"/>
    <w:rsid w:val="008829A8"/>
    <w:rsid w:val="00883CA3"/>
    <w:rsid w:val="00885000"/>
    <w:rsid w:val="008868DD"/>
    <w:rsid w:val="00887E9B"/>
    <w:rsid w:val="00890F19"/>
    <w:rsid w:val="008918DD"/>
    <w:rsid w:val="00893D7D"/>
    <w:rsid w:val="00894A2E"/>
    <w:rsid w:val="00894AE7"/>
    <w:rsid w:val="008A0EF3"/>
    <w:rsid w:val="008A1671"/>
    <w:rsid w:val="008A41DD"/>
    <w:rsid w:val="008A733C"/>
    <w:rsid w:val="008B2262"/>
    <w:rsid w:val="008B3023"/>
    <w:rsid w:val="008B3884"/>
    <w:rsid w:val="008B54DF"/>
    <w:rsid w:val="008B6FD5"/>
    <w:rsid w:val="008C2ABD"/>
    <w:rsid w:val="008C3AF5"/>
    <w:rsid w:val="008C4EAD"/>
    <w:rsid w:val="008C6591"/>
    <w:rsid w:val="008C6B81"/>
    <w:rsid w:val="008D03E8"/>
    <w:rsid w:val="008D12AD"/>
    <w:rsid w:val="008D2045"/>
    <w:rsid w:val="008D46A3"/>
    <w:rsid w:val="008D4CF3"/>
    <w:rsid w:val="008D713C"/>
    <w:rsid w:val="008D7230"/>
    <w:rsid w:val="008D7B09"/>
    <w:rsid w:val="008E240C"/>
    <w:rsid w:val="008E3D11"/>
    <w:rsid w:val="008E49D6"/>
    <w:rsid w:val="008E6888"/>
    <w:rsid w:val="008E6ACC"/>
    <w:rsid w:val="008F260A"/>
    <w:rsid w:val="008F2686"/>
    <w:rsid w:val="008F3A00"/>
    <w:rsid w:val="0090241B"/>
    <w:rsid w:val="009032E3"/>
    <w:rsid w:val="00906293"/>
    <w:rsid w:val="009108E0"/>
    <w:rsid w:val="00910DA0"/>
    <w:rsid w:val="00913A27"/>
    <w:rsid w:val="00915D95"/>
    <w:rsid w:val="00916535"/>
    <w:rsid w:val="009170F3"/>
    <w:rsid w:val="00917465"/>
    <w:rsid w:val="00921373"/>
    <w:rsid w:val="00921D28"/>
    <w:rsid w:val="009248DB"/>
    <w:rsid w:val="009318B3"/>
    <w:rsid w:val="0093491F"/>
    <w:rsid w:val="00934B9F"/>
    <w:rsid w:val="00936D08"/>
    <w:rsid w:val="00942D5A"/>
    <w:rsid w:val="00944EE4"/>
    <w:rsid w:val="00945B84"/>
    <w:rsid w:val="0095672C"/>
    <w:rsid w:val="009578F3"/>
    <w:rsid w:val="00957DD6"/>
    <w:rsid w:val="00960466"/>
    <w:rsid w:val="00961723"/>
    <w:rsid w:val="0096342B"/>
    <w:rsid w:val="00976A2E"/>
    <w:rsid w:val="0098334E"/>
    <w:rsid w:val="00986069"/>
    <w:rsid w:val="009902C6"/>
    <w:rsid w:val="00992C12"/>
    <w:rsid w:val="009950B9"/>
    <w:rsid w:val="009953CA"/>
    <w:rsid w:val="0099661E"/>
    <w:rsid w:val="009A4A9E"/>
    <w:rsid w:val="009B0C79"/>
    <w:rsid w:val="009B14EB"/>
    <w:rsid w:val="009B249A"/>
    <w:rsid w:val="009B60A3"/>
    <w:rsid w:val="009B64B2"/>
    <w:rsid w:val="009B7B88"/>
    <w:rsid w:val="009C0ED1"/>
    <w:rsid w:val="009C18CB"/>
    <w:rsid w:val="009C4903"/>
    <w:rsid w:val="009C4BB6"/>
    <w:rsid w:val="009C564E"/>
    <w:rsid w:val="009C786C"/>
    <w:rsid w:val="009D2C50"/>
    <w:rsid w:val="009D59B7"/>
    <w:rsid w:val="009D6997"/>
    <w:rsid w:val="009D7145"/>
    <w:rsid w:val="009E2D24"/>
    <w:rsid w:val="009E3B04"/>
    <w:rsid w:val="009F3B94"/>
    <w:rsid w:val="00A04AA9"/>
    <w:rsid w:val="00A078CE"/>
    <w:rsid w:val="00A1114A"/>
    <w:rsid w:val="00A12618"/>
    <w:rsid w:val="00A13A56"/>
    <w:rsid w:val="00A2149A"/>
    <w:rsid w:val="00A24452"/>
    <w:rsid w:val="00A27C65"/>
    <w:rsid w:val="00A36362"/>
    <w:rsid w:val="00A41BA7"/>
    <w:rsid w:val="00A44D4F"/>
    <w:rsid w:val="00A44E76"/>
    <w:rsid w:val="00A46755"/>
    <w:rsid w:val="00A46B09"/>
    <w:rsid w:val="00A578E0"/>
    <w:rsid w:val="00A6327A"/>
    <w:rsid w:val="00A63374"/>
    <w:rsid w:val="00A635A8"/>
    <w:rsid w:val="00A64E35"/>
    <w:rsid w:val="00A64EAB"/>
    <w:rsid w:val="00A66135"/>
    <w:rsid w:val="00A66A3B"/>
    <w:rsid w:val="00A71BB9"/>
    <w:rsid w:val="00A7270E"/>
    <w:rsid w:val="00A730AD"/>
    <w:rsid w:val="00A81774"/>
    <w:rsid w:val="00A847C1"/>
    <w:rsid w:val="00A9556A"/>
    <w:rsid w:val="00A95E7A"/>
    <w:rsid w:val="00AA01A7"/>
    <w:rsid w:val="00AA09DE"/>
    <w:rsid w:val="00AA0A29"/>
    <w:rsid w:val="00AA0B80"/>
    <w:rsid w:val="00AA144D"/>
    <w:rsid w:val="00AA6D51"/>
    <w:rsid w:val="00AB0CB5"/>
    <w:rsid w:val="00AB0FE1"/>
    <w:rsid w:val="00AB67EC"/>
    <w:rsid w:val="00AB696D"/>
    <w:rsid w:val="00AC22DE"/>
    <w:rsid w:val="00AC2B08"/>
    <w:rsid w:val="00AC2DB2"/>
    <w:rsid w:val="00AC4FB4"/>
    <w:rsid w:val="00AD1989"/>
    <w:rsid w:val="00AD1EF2"/>
    <w:rsid w:val="00AD79B2"/>
    <w:rsid w:val="00AE2EE2"/>
    <w:rsid w:val="00AE4648"/>
    <w:rsid w:val="00AE4B8C"/>
    <w:rsid w:val="00AE7F5C"/>
    <w:rsid w:val="00AF2C88"/>
    <w:rsid w:val="00AF4522"/>
    <w:rsid w:val="00AF568B"/>
    <w:rsid w:val="00AF5CCB"/>
    <w:rsid w:val="00AF66E6"/>
    <w:rsid w:val="00B02F61"/>
    <w:rsid w:val="00B04FA7"/>
    <w:rsid w:val="00B052B5"/>
    <w:rsid w:val="00B1071A"/>
    <w:rsid w:val="00B10F46"/>
    <w:rsid w:val="00B12CD4"/>
    <w:rsid w:val="00B15391"/>
    <w:rsid w:val="00B15F4F"/>
    <w:rsid w:val="00B16238"/>
    <w:rsid w:val="00B17FA7"/>
    <w:rsid w:val="00B21053"/>
    <w:rsid w:val="00B225DF"/>
    <w:rsid w:val="00B24762"/>
    <w:rsid w:val="00B2491E"/>
    <w:rsid w:val="00B2542E"/>
    <w:rsid w:val="00B257C9"/>
    <w:rsid w:val="00B25878"/>
    <w:rsid w:val="00B30747"/>
    <w:rsid w:val="00B3149C"/>
    <w:rsid w:val="00B31F7D"/>
    <w:rsid w:val="00B32C3F"/>
    <w:rsid w:val="00B34803"/>
    <w:rsid w:val="00B35D7F"/>
    <w:rsid w:val="00B35F3D"/>
    <w:rsid w:val="00B37A79"/>
    <w:rsid w:val="00B41B04"/>
    <w:rsid w:val="00B5200F"/>
    <w:rsid w:val="00B53097"/>
    <w:rsid w:val="00B53F66"/>
    <w:rsid w:val="00B541A8"/>
    <w:rsid w:val="00B55CE0"/>
    <w:rsid w:val="00B55E5B"/>
    <w:rsid w:val="00B57267"/>
    <w:rsid w:val="00B575F1"/>
    <w:rsid w:val="00B62C36"/>
    <w:rsid w:val="00B649C8"/>
    <w:rsid w:val="00B67938"/>
    <w:rsid w:val="00B72AC7"/>
    <w:rsid w:val="00B74F0A"/>
    <w:rsid w:val="00B75882"/>
    <w:rsid w:val="00B76E5B"/>
    <w:rsid w:val="00B81257"/>
    <w:rsid w:val="00B81E6B"/>
    <w:rsid w:val="00B85DAE"/>
    <w:rsid w:val="00B90C37"/>
    <w:rsid w:val="00B91187"/>
    <w:rsid w:val="00B940CA"/>
    <w:rsid w:val="00B95DA4"/>
    <w:rsid w:val="00BA02DA"/>
    <w:rsid w:val="00BA23A5"/>
    <w:rsid w:val="00BA7EF1"/>
    <w:rsid w:val="00BB348F"/>
    <w:rsid w:val="00BB4AEB"/>
    <w:rsid w:val="00BB6C43"/>
    <w:rsid w:val="00BC2D44"/>
    <w:rsid w:val="00BC354A"/>
    <w:rsid w:val="00BC411A"/>
    <w:rsid w:val="00BC4BC8"/>
    <w:rsid w:val="00BC6ABB"/>
    <w:rsid w:val="00BD266E"/>
    <w:rsid w:val="00BD5121"/>
    <w:rsid w:val="00BE4DBF"/>
    <w:rsid w:val="00BE7760"/>
    <w:rsid w:val="00BF02AA"/>
    <w:rsid w:val="00BF087E"/>
    <w:rsid w:val="00BF0ED3"/>
    <w:rsid w:val="00BF14C9"/>
    <w:rsid w:val="00BF5490"/>
    <w:rsid w:val="00BF691D"/>
    <w:rsid w:val="00C00CDC"/>
    <w:rsid w:val="00C02D51"/>
    <w:rsid w:val="00C02D7F"/>
    <w:rsid w:val="00C03174"/>
    <w:rsid w:val="00C03F1A"/>
    <w:rsid w:val="00C04DAB"/>
    <w:rsid w:val="00C05512"/>
    <w:rsid w:val="00C065B6"/>
    <w:rsid w:val="00C0752A"/>
    <w:rsid w:val="00C1108F"/>
    <w:rsid w:val="00C13130"/>
    <w:rsid w:val="00C13CAC"/>
    <w:rsid w:val="00C15CBB"/>
    <w:rsid w:val="00C21C25"/>
    <w:rsid w:val="00C21F33"/>
    <w:rsid w:val="00C244FA"/>
    <w:rsid w:val="00C24EBA"/>
    <w:rsid w:val="00C25161"/>
    <w:rsid w:val="00C26C21"/>
    <w:rsid w:val="00C27984"/>
    <w:rsid w:val="00C30F49"/>
    <w:rsid w:val="00C329A5"/>
    <w:rsid w:val="00C34A9E"/>
    <w:rsid w:val="00C359F3"/>
    <w:rsid w:val="00C40B25"/>
    <w:rsid w:val="00C4120E"/>
    <w:rsid w:val="00C4167C"/>
    <w:rsid w:val="00C42249"/>
    <w:rsid w:val="00C434DB"/>
    <w:rsid w:val="00C43D64"/>
    <w:rsid w:val="00C44019"/>
    <w:rsid w:val="00C46249"/>
    <w:rsid w:val="00C462DC"/>
    <w:rsid w:val="00C51718"/>
    <w:rsid w:val="00C52389"/>
    <w:rsid w:val="00C546F1"/>
    <w:rsid w:val="00C54772"/>
    <w:rsid w:val="00C61761"/>
    <w:rsid w:val="00C628E8"/>
    <w:rsid w:val="00C630CC"/>
    <w:rsid w:val="00C63483"/>
    <w:rsid w:val="00C6481C"/>
    <w:rsid w:val="00C657A3"/>
    <w:rsid w:val="00C6689E"/>
    <w:rsid w:val="00C670E9"/>
    <w:rsid w:val="00C677EF"/>
    <w:rsid w:val="00C70AC4"/>
    <w:rsid w:val="00C7142D"/>
    <w:rsid w:val="00C7705E"/>
    <w:rsid w:val="00C80995"/>
    <w:rsid w:val="00C8320D"/>
    <w:rsid w:val="00C8348E"/>
    <w:rsid w:val="00C83697"/>
    <w:rsid w:val="00C87054"/>
    <w:rsid w:val="00C87B5B"/>
    <w:rsid w:val="00C93083"/>
    <w:rsid w:val="00C94E3C"/>
    <w:rsid w:val="00C9662A"/>
    <w:rsid w:val="00C973D4"/>
    <w:rsid w:val="00CA4202"/>
    <w:rsid w:val="00CA4466"/>
    <w:rsid w:val="00CB003D"/>
    <w:rsid w:val="00CB03D7"/>
    <w:rsid w:val="00CB0DCC"/>
    <w:rsid w:val="00CB15D1"/>
    <w:rsid w:val="00CB26C6"/>
    <w:rsid w:val="00CB311F"/>
    <w:rsid w:val="00CB3340"/>
    <w:rsid w:val="00CB385A"/>
    <w:rsid w:val="00CB66C1"/>
    <w:rsid w:val="00CC0CA4"/>
    <w:rsid w:val="00CC0DDC"/>
    <w:rsid w:val="00CC2D30"/>
    <w:rsid w:val="00CC34AE"/>
    <w:rsid w:val="00CC4E32"/>
    <w:rsid w:val="00CC4F49"/>
    <w:rsid w:val="00CC6142"/>
    <w:rsid w:val="00CD2A8D"/>
    <w:rsid w:val="00CD5081"/>
    <w:rsid w:val="00CD5F92"/>
    <w:rsid w:val="00CD69BD"/>
    <w:rsid w:val="00CD7A14"/>
    <w:rsid w:val="00CE55FC"/>
    <w:rsid w:val="00CF0127"/>
    <w:rsid w:val="00CF0ACA"/>
    <w:rsid w:val="00CF2189"/>
    <w:rsid w:val="00CF35D3"/>
    <w:rsid w:val="00CF45B4"/>
    <w:rsid w:val="00CF5AFA"/>
    <w:rsid w:val="00CF668E"/>
    <w:rsid w:val="00CF6809"/>
    <w:rsid w:val="00D01CA0"/>
    <w:rsid w:val="00D04ADD"/>
    <w:rsid w:val="00D051A7"/>
    <w:rsid w:val="00D11030"/>
    <w:rsid w:val="00D14D0F"/>
    <w:rsid w:val="00D14DB7"/>
    <w:rsid w:val="00D1505A"/>
    <w:rsid w:val="00D1623D"/>
    <w:rsid w:val="00D16928"/>
    <w:rsid w:val="00D21401"/>
    <w:rsid w:val="00D21CF4"/>
    <w:rsid w:val="00D21EB1"/>
    <w:rsid w:val="00D227AC"/>
    <w:rsid w:val="00D22E5D"/>
    <w:rsid w:val="00D23438"/>
    <w:rsid w:val="00D2621F"/>
    <w:rsid w:val="00D31674"/>
    <w:rsid w:val="00D413BC"/>
    <w:rsid w:val="00D414EC"/>
    <w:rsid w:val="00D47650"/>
    <w:rsid w:val="00D525C2"/>
    <w:rsid w:val="00D53920"/>
    <w:rsid w:val="00D55071"/>
    <w:rsid w:val="00D5515C"/>
    <w:rsid w:val="00D558DE"/>
    <w:rsid w:val="00D62352"/>
    <w:rsid w:val="00D65341"/>
    <w:rsid w:val="00D66445"/>
    <w:rsid w:val="00D70094"/>
    <w:rsid w:val="00D70EB2"/>
    <w:rsid w:val="00D72084"/>
    <w:rsid w:val="00D7309E"/>
    <w:rsid w:val="00D73171"/>
    <w:rsid w:val="00D74FC8"/>
    <w:rsid w:val="00D75A80"/>
    <w:rsid w:val="00D76127"/>
    <w:rsid w:val="00D81049"/>
    <w:rsid w:val="00D8179F"/>
    <w:rsid w:val="00D83478"/>
    <w:rsid w:val="00D84C7D"/>
    <w:rsid w:val="00D86145"/>
    <w:rsid w:val="00D90E9E"/>
    <w:rsid w:val="00D92256"/>
    <w:rsid w:val="00D9235E"/>
    <w:rsid w:val="00D9254E"/>
    <w:rsid w:val="00D930C7"/>
    <w:rsid w:val="00D955E6"/>
    <w:rsid w:val="00D977C8"/>
    <w:rsid w:val="00D97C4A"/>
    <w:rsid w:val="00DA0F83"/>
    <w:rsid w:val="00DB1A10"/>
    <w:rsid w:val="00DB4E56"/>
    <w:rsid w:val="00DB4EA0"/>
    <w:rsid w:val="00DB59D7"/>
    <w:rsid w:val="00DB5DE3"/>
    <w:rsid w:val="00DC19CC"/>
    <w:rsid w:val="00DC3DF7"/>
    <w:rsid w:val="00DC4524"/>
    <w:rsid w:val="00DC503C"/>
    <w:rsid w:val="00DC741F"/>
    <w:rsid w:val="00DD1005"/>
    <w:rsid w:val="00DD1A1C"/>
    <w:rsid w:val="00DD29EB"/>
    <w:rsid w:val="00DD304C"/>
    <w:rsid w:val="00DD7A43"/>
    <w:rsid w:val="00DE4ACA"/>
    <w:rsid w:val="00DF056C"/>
    <w:rsid w:val="00DF0F75"/>
    <w:rsid w:val="00DF4633"/>
    <w:rsid w:val="00DF49A1"/>
    <w:rsid w:val="00DF7527"/>
    <w:rsid w:val="00DF7BE9"/>
    <w:rsid w:val="00E0455D"/>
    <w:rsid w:val="00E0582E"/>
    <w:rsid w:val="00E07013"/>
    <w:rsid w:val="00E13628"/>
    <w:rsid w:val="00E14D7C"/>
    <w:rsid w:val="00E169E8"/>
    <w:rsid w:val="00E16D84"/>
    <w:rsid w:val="00E2618C"/>
    <w:rsid w:val="00E26404"/>
    <w:rsid w:val="00E27510"/>
    <w:rsid w:val="00E41FC7"/>
    <w:rsid w:val="00E42249"/>
    <w:rsid w:val="00E429E4"/>
    <w:rsid w:val="00E4357D"/>
    <w:rsid w:val="00E43C11"/>
    <w:rsid w:val="00E455C4"/>
    <w:rsid w:val="00E47904"/>
    <w:rsid w:val="00E52781"/>
    <w:rsid w:val="00E55DD2"/>
    <w:rsid w:val="00E56618"/>
    <w:rsid w:val="00E603D3"/>
    <w:rsid w:val="00E639C3"/>
    <w:rsid w:val="00E652E2"/>
    <w:rsid w:val="00E6779A"/>
    <w:rsid w:val="00E7263F"/>
    <w:rsid w:val="00E72CA3"/>
    <w:rsid w:val="00E739A5"/>
    <w:rsid w:val="00E75651"/>
    <w:rsid w:val="00E76662"/>
    <w:rsid w:val="00E76F2D"/>
    <w:rsid w:val="00E77EA6"/>
    <w:rsid w:val="00E80446"/>
    <w:rsid w:val="00E83AD6"/>
    <w:rsid w:val="00E83B15"/>
    <w:rsid w:val="00E84BBA"/>
    <w:rsid w:val="00E8742F"/>
    <w:rsid w:val="00E911CC"/>
    <w:rsid w:val="00E91D08"/>
    <w:rsid w:val="00E92A11"/>
    <w:rsid w:val="00E9432F"/>
    <w:rsid w:val="00E94763"/>
    <w:rsid w:val="00E94DB0"/>
    <w:rsid w:val="00E970A1"/>
    <w:rsid w:val="00EA0807"/>
    <w:rsid w:val="00EA198F"/>
    <w:rsid w:val="00EA1A48"/>
    <w:rsid w:val="00EB0A27"/>
    <w:rsid w:val="00EB0DF9"/>
    <w:rsid w:val="00EB3B44"/>
    <w:rsid w:val="00EB62E4"/>
    <w:rsid w:val="00EB7D51"/>
    <w:rsid w:val="00EC02C0"/>
    <w:rsid w:val="00EC0AD4"/>
    <w:rsid w:val="00EC1601"/>
    <w:rsid w:val="00EC1A29"/>
    <w:rsid w:val="00EC3B4A"/>
    <w:rsid w:val="00EC49A2"/>
    <w:rsid w:val="00EC4BA8"/>
    <w:rsid w:val="00EC50F1"/>
    <w:rsid w:val="00EC5AC8"/>
    <w:rsid w:val="00EC79CE"/>
    <w:rsid w:val="00ED0343"/>
    <w:rsid w:val="00ED6497"/>
    <w:rsid w:val="00EE0155"/>
    <w:rsid w:val="00EE03F7"/>
    <w:rsid w:val="00EE204F"/>
    <w:rsid w:val="00EE35FB"/>
    <w:rsid w:val="00EE6529"/>
    <w:rsid w:val="00EF1657"/>
    <w:rsid w:val="00EF24D1"/>
    <w:rsid w:val="00EF3F93"/>
    <w:rsid w:val="00EF431B"/>
    <w:rsid w:val="00EF4541"/>
    <w:rsid w:val="00EF5DDB"/>
    <w:rsid w:val="00EF6C57"/>
    <w:rsid w:val="00EF7A10"/>
    <w:rsid w:val="00F00F5D"/>
    <w:rsid w:val="00F06031"/>
    <w:rsid w:val="00F113D5"/>
    <w:rsid w:val="00F122AD"/>
    <w:rsid w:val="00F12E4F"/>
    <w:rsid w:val="00F13445"/>
    <w:rsid w:val="00F16147"/>
    <w:rsid w:val="00F16954"/>
    <w:rsid w:val="00F202B9"/>
    <w:rsid w:val="00F24C55"/>
    <w:rsid w:val="00F24DF6"/>
    <w:rsid w:val="00F25676"/>
    <w:rsid w:val="00F27511"/>
    <w:rsid w:val="00F27989"/>
    <w:rsid w:val="00F27CF8"/>
    <w:rsid w:val="00F27FD4"/>
    <w:rsid w:val="00F4018B"/>
    <w:rsid w:val="00F4282C"/>
    <w:rsid w:val="00F42F26"/>
    <w:rsid w:val="00F46529"/>
    <w:rsid w:val="00F47A32"/>
    <w:rsid w:val="00F50316"/>
    <w:rsid w:val="00F54352"/>
    <w:rsid w:val="00F5472E"/>
    <w:rsid w:val="00F54C76"/>
    <w:rsid w:val="00F55F44"/>
    <w:rsid w:val="00F57D74"/>
    <w:rsid w:val="00F6200A"/>
    <w:rsid w:val="00F63E15"/>
    <w:rsid w:val="00F64514"/>
    <w:rsid w:val="00F6539E"/>
    <w:rsid w:val="00F70E81"/>
    <w:rsid w:val="00F71F71"/>
    <w:rsid w:val="00F75BAB"/>
    <w:rsid w:val="00F773D4"/>
    <w:rsid w:val="00F77401"/>
    <w:rsid w:val="00F85E5C"/>
    <w:rsid w:val="00F9414E"/>
    <w:rsid w:val="00F94DC0"/>
    <w:rsid w:val="00FA0F3A"/>
    <w:rsid w:val="00FA27BC"/>
    <w:rsid w:val="00FB1DDF"/>
    <w:rsid w:val="00FB1E01"/>
    <w:rsid w:val="00FB302B"/>
    <w:rsid w:val="00FB3BA2"/>
    <w:rsid w:val="00FB45B1"/>
    <w:rsid w:val="00FB485E"/>
    <w:rsid w:val="00FB5276"/>
    <w:rsid w:val="00FB6FE0"/>
    <w:rsid w:val="00FB70D8"/>
    <w:rsid w:val="00FB773C"/>
    <w:rsid w:val="00FB7D0F"/>
    <w:rsid w:val="00FC0285"/>
    <w:rsid w:val="00FC3603"/>
    <w:rsid w:val="00FC41A6"/>
    <w:rsid w:val="00FC4897"/>
    <w:rsid w:val="00FC7485"/>
    <w:rsid w:val="00FD00CB"/>
    <w:rsid w:val="00FD1598"/>
    <w:rsid w:val="00FD35C0"/>
    <w:rsid w:val="00FD38DD"/>
    <w:rsid w:val="00FD5409"/>
    <w:rsid w:val="00FD7F6E"/>
    <w:rsid w:val="00FE107F"/>
    <w:rsid w:val="00FE14FD"/>
    <w:rsid w:val="00FE20A4"/>
    <w:rsid w:val="00FE6453"/>
    <w:rsid w:val="00FF3C55"/>
    <w:rsid w:val="00FF5F74"/>
    <w:rsid w:val="01173DFE"/>
    <w:rsid w:val="01262BFA"/>
    <w:rsid w:val="0133583A"/>
    <w:rsid w:val="0150436C"/>
    <w:rsid w:val="01561571"/>
    <w:rsid w:val="015A2A28"/>
    <w:rsid w:val="01811EC8"/>
    <w:rsid w:val="01AC3C65"/>
    <w:rsid w:val="01BA382F"/>
    <w:rsid w:val="01D63449"/>
    <w:rsid w:val="02370B65"/>
    <w:rsid w:val="02641F65"/>
    <w:rsid w:val="02804568"/>
    <w:rsid w:val="028F0A2A"/>
    <w:rsid w:val="02C2625B"/>
    <w:rsid w:val="02CC5658"/>
    <w:rsid w:val="02F17DF0"/>
    <w:rsid w:val="02FB3E5A"/>
    <w:rsid w:val="02FC1C65"/>
    <w:rsid w:val="031270FF"/>
    <w:rsid w:val="03196B91"/>
    <w:rsid w:val="03206E93"/>
    <w:rsid w:val="032A4E16"/>
    <w:rsid w:val="03787658"/>
    <w:rsid w:val="039D05A8"/>
    <w:rsid w:val="03A5400F"/>
    <w:rsid w:val="03CF64B7"/>
    <w:rsid w:val="04066C95"/>
    <w:rsid w:val="041C217A"/>
    <w:rsid w:val="045F3A45"/>
    <w:rsid w:val="04962B36"/>
    <w:rsid w:val="04B10581"/>
    <w:rsid w:val="04B94522"/>
    <w:rsid w:val="04E51286"/>
    <w:rsid w:val="050630E8"/>
    <w:rsid w:val="05105D31"/>
    <w:rsid w:val="051227E8"/>
    <w:rsid w:val="051472E8"/>
    <w:rsid w:val="052C7B96"/>
    <w:rsid w:val="05347FDC"/>
    <w:rsid w:val="05362440"/>
    <w:rsid w:val="054657E3"/>
    <w:rsid w:val="05620C6C"/>
    <w:rsid w:val="056B3B39"/>
    <w:rsid w:val="05757BDC"/>
    <w:rsid w:val="057E2A75"/>
    <w:rsid w:val="05AA503B"/>
    <w:rsid w:val="05BD15C4"/>
    <w:rsid w:val="05C46DA9"/>
    <w:rsid w:val="05CF230A"/>
    <w:rsid w:val="06176226"/>
    <w:rsid w:val="062D5BE8"/>
    <w:rsid w:val="065D276D"/>
    <w:rsid w:val="065D649F"/>
    <w:rsid w:val="06752015"/>
    <w:rsid w:val="0684317C"/>
    <w:rsid w:val="06917809"/>
    <w:rsid w:val="069272E1"/>
    <w:rsid w:val="069E1B60"/>
    <w:rsid w:val="06F87FF2"/>
    <w:rsid w:val="072443A6"/>
    <w:rsid w:val="072C6119"/>
    <w:rsid w:val="0734574C"/>
    <w:rsid w:val="07624438"/>
    <w:rsid w:val="07AC3C56"/>
    <w:rsid w:val="07B86DA3"/>
    <w:rsid w:val="07B90970"/>
    <w:rsid w:val="08072CC9"/>
    <w:rsid w:val="082113FD"/>
    <w:rsid w:val="08405DCF"/>
    <w:rsid w:val="0849193D"/>
    <w:rsid w:val="085776AF"/>
    <w:rsid w:val="08815E0A"/>
    <w:rsid w:val="08BC26EE"/>
    <w:rsid w:val="08CE2751"/>
    <w:rsid w:val="08CE3C56"/>
    <w:rsid w:val="08DA7CFB"/>
    <w:rsid w:val="08E76F4F"/>
    <w:rsid w:val="08F429A0"/>
    <w:rsid w:val="09002731"/>
    <w:rsid w:val="0901057B"/>
    <w:rsid w:val="09083FDF"/>
    <w:rsid w:val="092A7A8A"/>
    <w:rsid w:val="09371EC1"/>
    <w:rsid w:val="093C425C"/>
    <w:rsid w:val="09654A08"/>
    <w:rsid w:val="096630F2"/>
    <w:rsid w:val="096962C0"/>
    <w:rsid w:val="098A5312"/>
    <w:rsid w:val="09B8658F"/>
    <w:rsid w:val="09CC4073"/>
    <w:rsid w:val="09F13EFA"/>
    <w:rsid w:val="09FD5E06"/>
    <w:rsid w:val="09FE5B43"/>
    <w:rsid w:val="0A04689F"/>
    <w:rsid w:val="0A052957"/>
    <w:rsid w:val="0A0F0F58"/>
    <w:rsid w:val="0A536699"/>
    <w:rsid w:val="0A7B305A"/>
    <w:rsid w:val="0A8652E1"/>
    <w:rsid w:val="0AAE25EF"/>
    <w:rsid w:val="0AFA7464"/>
    <w:rsid w:val="0B0842B5"/>
    <w:rsid w:val="0B4F27E9"/>
    <w:rsid w:val="0B551380"/>
    <w:rsid w:val="0B6A61AF"/>
    <w:rsid w:val="0B872A96"/>
    <w:rsid w:val="0BAD554D"/>
    <w:rsid w:val="0BB854BA"/>
    <w:rsid w:val="0BC51DDB"/>
    <w:rsid w:val="0BD76C57"/>
    <w:rsid w:val="0BF8798C"/>
    <w:rsid w:val="0C2669F2"/>
    <w:rsid w:val="0C5C1F7A"/>
    <w:rsid w:val="0C6443C0"/>
    <w:rsid w:val="0CA72283"/>
    <w:rsid w:val="0CB4390D"/>
    <w:rsid w:val="0CC410BA"/>
    <w:rsid w:val="0CC677DC"/>
    <w:rsid w:val="0CCD1C3F"/>
    <w:rsid w:val="0CE36156"/>
    <w:rsid w:val="0CF05D1E"/>
    <w:rsid w:val="0CFA0385"/>
    <w:rsid w:val="0D276B37"/>
    <w:rsid w:val="0D456950"/>
    <w:rsid w:val="0D4F157B"/>
    <w:rsid w:val="0D5F5814"/>
    <w:rsid w:val="0D7676D7"/>
    <w:rsid w:val="0DF7232F"/>
    <w:rsid w:val="0E021C20"/>
    <w:rsid w:val="0E355B79"/>
    <w:rsid w:val="0E3674F2"/>
    <w:rsid w:val="0E6547AC"/>
    <w:rsid w:val="0E703C53"/>
    <w:rsid w:val="0EB776C7"/>
    <w:rsid w:val="0EF02094"/>
    <w:rsid w:val="0EFF71D6"/>
    <w:rsid w:val="0F175A94"/>
    <w:rsid w:val="0F207062"/>
    <w:rsid w:val="0F223682"/>
    <w:rsid w:val="0F415652"/>
    <w:rsid w:val="0F862DA5"/>
    <w:rsid w:val="0FB402AD"/>
    <w:rsid w:val="0FD035D2"/>
    <w:rsid w:val="0FE56D3C"/>
    <w:rsid w:val="10073964"/>
    <w:rsid w:val="10A70726"/>
    <w:rsid w:val="10CC58A4"/>
    <w:rsid w:val="10D96CBB"/>
    <w:rsid w:val="110E43A6"/>
    <w:rsid w:val="11162D90"/>
    <w:rsid w:val="11183B0D"/>
    <w:rsid w:val="112D68BA"/>
    <w:rsid w:val="11307CAF"/>
    <w:rsid w:val="1136446C"/>
    <w:rsid w:val="11426E1C"/>
    <w:rsid w:val="116D0EEF"/>
    <w:rsid w:val="117D031C"/>
    <w:rsid w:val="11916581"/>
    <w:rsid w:val="11DF40F1"/>
    <w:rsid w:val="11FA67DD"/>
    <w:rsid w:val="120964B7"/>
    <w:rsid w:val="121B6D60"/>
    <w:rsid w:val="12380C28"/>
    <w:rsid w:val="124243B9"/>
    <w:rsid w:val="1255218E"/>
    <w:rsid w:val="126F68AF"/>
    <w:rsid w:val="12846659"/>
    <w:rsid w:val="128540D8"/>
    <w:rsid w:val="129A5A0B"/>
    <w:rsid w:val="12A24004"/>
    <w:rsid w:val="131021E3"/>
    <w:rsid w:val="131E75E0"/>
    <w:rsid w:val="132054BC"/>
    <w:rsid w:val="1323797E"/>
    <w:rsid w:val="132E3388"/>
    <w:rsid w:val="1336001C"/>
    <w:rsid w:val="13397A01"/>
    <w:rsid w:val="133D6266"/>
    <w:rsid w:val="133F14F6"/>
    <w:rsid w:val="134778A5"/>
    <w:rsid w:val="13585BFE"/>
    <w:rsid w:val="135A3726"/>
    <w:rsid w:val="13687A14"/>
    <w:rsid w:val="136B497F"/>
    <w:rsid w:val="13791A5B"/>
    <w:rsid w:val="13AC1D7A"/>
    <w:rsid w:val="13B452D1"/>
    <w:rsid w:val="13CE53D0"/>
    <w:rsid w:val="13D60591"/>
    <w:rsid w:val="13D758D8"/>
    <w:rsid w:val="13DE2140"/>
    <w:rsid w:val="13DF6810"/>
    <w:rsid w:val="13FF2231"/>
    <w:rsid w:val="141B3B07"/>
    <w:rsid w:val="141F77B3"/>
    <w:rsid w:val="14412EA3"/>
    <w:rsid w:val="144901B5"/>
    <w:rsid w:val="144A1066"/>
    <w:rsid w:val="144E528E"/>
    <w:rsid w:val="145F4003"/>
    <w:rsid w:val="147273D9"/>
    <w:rsid w:val="1476595E"/>
    <w:rsid w:val="14B81936"/>
    <w:rsid w:val="14B858D7"/>
    <w:rsid w:val="14C263C4"/>
    <w:rsid w:val="14CD4477"/>
    <w:rsid w:val="14CE5D15"/>
    <w:rsid w:val="15143410"/>
    <w:rsid w:val="152B3F68"/>
    <w:rsid w:val="15963C37"/>
    <w:rsid w:val="15984143"/>
    <w:rsid w:val="15B53903"/>
    <w:rsid w:val="15B93C79"/>
    <w:rsid w:val="15F15C04"/>
    <w:rsid w:val="162F229A"/>
    <w:rsid w:val="165B7F2B"/>
    <w:rsid w:val="166E0FF9"/>
    <w:rsid w:val="168E3338"/>
    <w:rsid w:val="16933E71"/>
    <w:rsid w:val="16CF52A3"/>
    <w:rsid w:val="16E52AC6"/>
    <w:rsid w:val="16FB7AAD"/>
    <w:rsid w:val="17051A3F"/>
    <w:rsid w:val="173A0BFF"/>
    <w:rsid w:val="174A11F7"/>
    <w:rsid w:val="174C033E"/>
    <w:rsid w:val="175A5A4F"/>
    <w:rsid w:val="17BD36AE"/>
    <w:rsid w:val="17E31BCF"/>
    <w:rsid w:val="17EB7191"/>
    <w:rsid w:val="18263CB2"/>
    <w:rsid w:val="182E46D1"/>
    <w:rsid w:val="183411D3"/>
    <w:rsid w:val="18380C98"/>
    <w:rsid w:val="183E6228"/>
    <w:rsid w:val="18532A2B"/>
    <w:rsid w:val="18560E43"/>
    <w:rsid w:val="1877368C"/>
    <w:rsid w:val="18A2695E"/>
    <w:rsid w:val="18CF458D"/>
    <w:rsid w:val="18EF2D4A"/>
    <w:rsid w:val="18FF724D"/>
    <w:rsid w:val="190B493A"/>
    <w:rsid w:val="193D0EEB"/>
    <w:rsid w:val="19625B00"/>
    <w:rsid w:val="19AB28C6"/>
    <w:rsid w:val="19C62E87"/>
    <w:rsid w:val="19CD7227"/>
    <w:rsid w:val="19DF20C1"/>
    <w:rsid w:val="1A354F86"/>
    <w:rsid w:val="1A401D1A"/>
    <w:rsid w:val="1A41769E"/>
    <w:rsid w:val="1A474A7C"/>
    <w:rsid w:val="1A604918"/>
    <w:rsid w:val="1A786E86"/>
    <w:rsid w:val="1A7C4A53"/>
    <w:rsid w:val="1AAC5FBD"/>
    <w:rsid w:val="1AAC76A3"/>
    <w:rsid w:val="1ABD2730"/>
    <w:rsid w:val="1ABD7E1B"/>
    <w:rsid w:val="1ACB2783"/>
    <w:rsid w:val="1AF05119"/>
    <w:rsid w:val="1AF110F7"/>
    <w:rsid w:val="1B0A1563"/>
    <w:rsid w:val="1B0B6824"/>
    <w:rsid w:val="1B144222"/>
    <w:rsid w:val="1B152DD8"/>
    <w:rsid w:val="1B204230"/>
    <w:rsid w:val="1B271991"/>
    <w:rsid w:val="1B2D5863"/>
    <w:rsid w:val="1B3A1A4F"/>
    <w:rsid w:val="1B45348B"/>
    <w:rsid w:val="1B6263F4"/>
    <w:rsid w:val="1B700AB5"/>
    <w:rsid w:val="1B964B23"/>
    <w:rsid w:val="1BA44A7F"/>
    <w:rsid w:val="1BA735DF"/>
    <w:rsid w:val="1BC259DB"/>
    <w:rsid w:val="1BD2151F"/>
    <w:rsid w:val="1BDD3D14"/>
    <w:rsid w:val="1BFB5A32"/>
    <w:rsid w:val="1C0F2855"/>
    <w:rsid w:val="1C164FB4"/>
    <w:rsid w:val="1C45385C"/>
    <w:rsid w:val="1C6930C9"/>
    <w:rsid w:val="1C836C47"/>
    <w:rsid w:val="1C9B499C"/>
    <w:rsid w:val="1CB31D97"/>
    <w:rsid w:val="1CB82E21"/>
    <w:rsid w:val="1CD07448"/>
    <w:rsid w:val="1CEF4D5C"/>
    <w:rsid w:val="1CF14278"/>
    <w:rsid w:val="1D065A6D"/>
    <w:rsid w:val="1D566E40"/>
    <w:rsid w:val="1DA615A7"/>
    <w:rsid w:val="1DC42892"/>
    <w:rsid w:val="1DFC42B4"/>
    <w:rsid w:val="1E064AE2"/>
    <w:rsid w:val="1E077CCC"/>
    <w:rsid w:val="1E1F6060"/>
    <w:rsid w:val="1E262502"/>
    <w:rsid w:val="1E2F6A58"/>
    <w:rsid w:val="1E300997"/>
    <w:rsid w:val="1E425FA3"/>
    <w:rsid w:val="1E484F35"/>
    <w:rsid w:val="1E6D4260"/>
    <w:rsid w:val="1E7B5887"/>
    <w:rsid w:val="1E7F77B2"/>
    <w:rsid w:val="1EA51782"/>
    <w:rsid w:val="1EA7247A"/>
    <w:rsid w:val="1EAD396F"/>
    <w:rsid w:val="1EDF4C54"/>
    <w:rsid w:val="1EE835AD"/>
    <w:rsid w:val="1EF3555E"/>
    <w:rsid w:val="1F2F2899"/>
    <w:rsid w:val="1F3455F2"/>
    <w:rsid w:val="1F4F4C0F"/>
    <w:rsid w:val="1F5D5AD1"/>
    <w:rsid w:val="1F8762FA"/>
    <w:rsid w:val="1FBF467D"/>
    <w:rsid w:val="1FEF71B6"/>
    <w:rsid w:val="20036D90"/>
    <w:rsid w:val="201726EA"/>
    <w:rsid w:val="204C7FA0"/>
    <w:rsid w:val="206E6EDD"/>
    <w:rsid w:val="209E0FF4"/>
    <w:rsid w:val="20AA3857"/>
    <w:rsid w:val="20C41B74"/>
    <w:rsid w:val="20C7182E"/>
    <w:rsid w:val="20C766E7"/>
    <w:rsid w:val="20CA73A0"/>
    <w:rsid w:val="20FD00FE"/>
    <w:rsid w:val="20FF0EA0"/>
    <w:rsid w:val="210A6F6C"/>
    <w:rsid w:val="21167FD9"/>
    <w:rsid w:val="2118317F"/>
    <w:rsid w:val="21316D58"/>
    <w:rsid w:val="214D0269"/>
    <w:rsid w:val="21540317"/>
    <w:rsid w:val="215F3D3F"/>
    <w:rsid w:val="2163753E"/>
    <w:rsid w:val="21A138B0"/>
    <w:rsid w:val="21B7398F"/>
    <w:rsid w:val="21DF3191"/>
    <w:rsid w:val="220F08B5"/>
    <w:rsid w:val="222014EF"/>
    <w:rsid w:val="224C6368"/>
    <w:rsid w:val="225557F9"/>
    <w:rsid w:val="22625BB2"/>
    <w:rsid w:val="229F549D"/>
    <w:rsid w:val="22C72D8D"/>
    <w:rsid w:val="22E47AC2"/>
    <w:rsid w:val="22F527D4"/>
    <w:rsid w:val="23013E1F"/>
    <w:rsid w:val="230C3674"/>
    <w:rsid w:val="237577C2"/>
    <w:rsid w:val="23877A98"/>
    <w:rsid w:val="23AF0610"/>
    <w:rsid w:val="23B42F63"/>
    <w:rsid w:val="23CA1F98"/>
    <w:rsid w:val="23CC0651"/>
    <w:rsid w:val="23D40EB4"/>
    <w:rsid w:val="23F939B9"/>
    <w:rsid w:val="24301206"/>
    <w:rsid w:val="24485137"/>
    <w:rsid w:val="24492C5B"/>
    <w:rsid w:val="24796181"/>
    <w:rsid w:val="248B4F68"/>
    <w:rsid w:val="24D84DCF"/>
    <w:rsid w:val="24E90C37"/>
    <w:rsid w:val="25075032"/>
    <w:rsid w:val="25131313"/>
    <w:rsid w:val="256847F7"/>
    <w:rsid w:val="25725956"/>
    <w:rsid w:val="25B816B5"/>
    <w:rsid w:val="260D2D6E"/>
    <w:rsid w:val="261A5B43"/>
    <w:rsid w:val="26486C27"/>
    <w:rsid w:val="266B6B96"/>
    <w:rsid w:val="26892414"/>
    <w:rsid w:val="26FB786F"/>
    <w:rsid w:val="26FF28CC"/>
    <w:rsid w:val="27340CA7"/>
    <w:rsid w:val="276E1D63"/>
    <w:rsid w:val="27862F36"/>
    <w:rsid w:val="27D81199"/>
    <w:rsid w:val="27F8309A"/>
    <w:rsid w:val="286C3266"/>
    <w:rsid w:val="289A28CC"/>
    <w:rsid w:val="28AB7F62"/>
    <w:rsid w:val="28D6331E"/>
    <w:rsid w:val="28DD06C0"/>
    <w:rsid w:val="29117C89"/>
    <w:rsid w:val="2920145A"/>
    <w:rsid w:val="292E515E"/>
    <w:rsid w:val="293B68A4"/>
    <w:rsid w:val="294D3793"/>
    <w:rsid w:val="295B322E"/>
    <w:rsid w:val="296C2D4E"/>
    <w:rsid w:val="299411A3"/>
    <w:rsid w:val="29D168EF"/>
    <w:rsid w:val="2A3F46B9"/>
    <w:rsid w:val="2A4200B6"/>
    <w:rsid w:val="2A4C58F2"/>
    <w:rsid w:val="2A51032B"/>
    <w:rsid w:val="2A616016"/>
    <w:rsid w:val="2A6C4B5F"/>
    <w:rsid w:val="2A841AFC"/>
    <w:rsid w:val="2A8D2122"/>
    <w:rsid w:val="2AC33CF1"/>
    <w:rsid w:val="2AC75D48"/>
    <w:rsid w:val="2AD9107E"/>
    <w:rsid w:val="2AEB0454"/>
    <w:rsid w:val="2B064831"/>
    <w:rsid w:val="2B430689"/>
    <w:rsid w:val="2B6E2835"/>
    <w:rsid w:val="2B843FC9"/>
    <w:rsid w:val="2BB048AA"/>
    <w:rsid w:val="2BBB2EB0"/>
    <w:rsid w:val="2BCF7FE9"/>
    <w:rsid w:val="2BD558DE"/>
    <w:rsid w:val="2BE543DF"/>
    <w:rsid w:val="2BF7420C"/>
    <w:rsid w:val="2C2B117C"/>
    <w:rsid w:val="2C3C3AFA"/>
    <w:rsid w:val="2C422C72"/>
    <w:rsid w:val="2C736DCD"/>
    <w:rsid w:val="2C815662"/>
    <w:rsid w:val="2C8A2B8F"/>
    <w:rsid w:val="2CBA0932"/>
    <w:rsid w:val="2CCB55B5"/>
    <w:rsid w:val="2CE51D96"/>
    <w:rsid w:val="2CF44258"/>
    <w:rsid w:val="2CFB78AB"/>
    <w:rsid w:val="2D1327C2"/>
    <w:rsid w:val="2D1447EB"/>
    <w:rsid w:val="2D15522A"/>
    <w:rsid w:val="2D1E7230"/>
    <w:rsid w:val="2D3B413F"/>
    <w:rsid w:val="2D4712B9"/>
    <w:rsid w:val="2DD949FA"/>
    <w:rsid w:val="2DF03CAB"/>
    <w:rsid w:val="2E090468"/>
    <w:rsid w:val="2E0A1C10"/>
    <w:rsid w:val="2E2A0DCC"/>
    <w:rsid w:val="2E2F2E85"/>
    <w:rsid w:val="2E3C296D"/>
    <w:rsid w:val="2E5D32E6"/>
    <w:rsid w:val="2E5D7897"/>
    <w:rsid w:val="2E78667A"/>
    <w:rsid w:val="2E884324"/>
    <w:rsid w:val="2E9273B2"/>
    <w:rsid w:val="2E9339FC"/>
    <w:rsid w:val="2EEA0B7E"/>
    <w:rsid w:val="2EEF11F9"/>
    <w:rsid w:val="2F2C5C3E"/>
    <w:rsid w:val="2F3A6A95"/>
    <w:rsid w:val="2F543919"/>
    <w:rsid w:val="2F6423A6"/>
    <w:rsid w:val="2F8D542B"/>
    <w:rsid w:val="2F963955"/>
    <w:rsid w:val="2FA80F76"/>
    <w:rsid w:val="2FBB153E"/>
    <w:rsid w:val="2FCA190B"/>
    <w:rsid w:val="2FF4578A"/>
    <w:rsid w:val="2FFA3F39"/>
    <w:rsid w:val="30173AFD"/>
    <w:rsid w:val="30253F06"/>
    <w:rsid w:val="30375989"/>
    <w:rsid w:val="303C691E"/>
    <w:rsid w:val="303E7CE0"/>
    <w:rsid w:val="30443AA6"/>
    <w:rsid w:val="304F082E"/>
    <w:rsid w:val="307E6900"/>
    <w:rsid w:val="30BE20A5"/>
    <w:rsid w:val="30BF29D5"/>
    <w:rsid w:val="30C20F36"/>
    <w:rsid w:val="30F77FAC"/>
    <w:rsid w:val="30F8678C"/>
    <w:rsid w:val="31112DA0"/>
    <w:rsid w:val="311B4C6F"/>
    <w:rsid w:val="314B43B4"/>
    <w:rsid w:val="316042B4"/>
    <w:rsid w:val="31740B06"/>
    <w:rsid w:val="317B6CB9"/>
    <w:rsid w:val="31800648"/>
    <w:rsid w:val="319D0D14"/>
    <w:rsid w:val="31B1442F"/>
    <w:rsid w:val="31FA6077"/>
    <w:rsid w:val="320C3B9C"/>
    <w:rsid w:val="325E08CD"/>
    <w:rsid w:val="328810C8"/>
    <w:rsid w:val="32944247"/>
    <w:rsid w:val="329A122F"/>
    <w:rsid w:val="329E51E4"/>
    <w:rsid w:val="329F3B22"/>
    <w:rsid w:val="32A816EC"/>
    <w:rsid w:val="32BE6EB6"/>
    <w:rsid w:val="32D011E7"/>
    <w:rsid w:val="32DC14EF"/>
    <w:rsid w:val="32E11B34"/>
    <w:rsid w:val="33061DAC"/>
    <w:rsid w:val="330D3ACA"/>
    <w:rsid w:val="333E438B"/>
    <w:rsid w:val="334300C8"/>
    <w:rsid w:val="335E4479"/>
    <w:rsid w:val="33B82D5F"/>
    <w:rsid w:val="33BD53C4"/>
    <w:rsid w:val="33C9772B"/>
    <w:rsid w:val="33F20E74"/>
    <w:rsid w:val="341000EC"/>
    <w:rsid w:val="342A183A"/>
    <w:rsid w:val="345F5AD4"/>
    <w:rsid w:val="346656AE"/>
    <w:rsid w:val="346F1281"/>
    <w:rsid w:val="34707B46"/>
    <w:rsid w:val="34763945"/>
    <w:rsid w:val="348638B9"/>
    <w:rsid w:val="34A50D54"/>
    <w:rsid w:val="34AF0BCF"/>
    <w:rsid w:val="34BF4FB7"/>
    <w:rsid w:val="34CB1551"/>
    <w:rsid w:val="34CD5377"/>
    <w:rsid w:val="35231B45"/>
    <w:rsid w:val="35244B59"/>
    <w:rsid w:val="359C4705"/>
    <w:rsid w:val="35C33D3C"/>
    <w:rsid w:val="35EC0B70"/>
    <w:rsid w:val="36090232"/>
    <w:rsid w:val="36162075"/>
    <w:rsid w:val="36215BF5"/>
    <w:rsid w:val="36234A36"/>
    <w:rsid w:val="366D1BE5"/>
    <w:rsid w:val="367E76D6"/>
    <w:rsid w:val="36800676"/>
    <w:rsid w:val="36BD7EB4"/>
    <w:rsid w:val="36FD3971"/>
    <w:rsid w:val="3738134A"/>
    <w:rsid w:val="37403FA6"/>
    <w:rsid w:val="37464F2D"/>
    <w:rsid w:val="3769047F"/>
    <w:rsid w:val="37936A48"/>
    <w:rsid w:val="3795121D"/>
    <w:rsid w:val="37A60E14"/>
    <w:rsid w:val="37A84F5D"/>
    <w:rsid w:val="37B41AD4"/>
    <w:rsid w:val="37BB0C7A"/>
    <w:rsid w:val="37EB31F4"/>
    <w:rsid w:val="37EE53B4"/>
    <w:rsid w:val="37F51FAF"/>
    <w:rsid w:val="37F80A2B"/>
    <w:rsid w:val="381F1D09"/>
    <w:rsid w:val="383276D1"/>
    <w:rsid w:val="38580D43"/>
    <w:rsid w:val="386B7E5B"/>
    <w:rsid w:val="38C342F0"/>
    <w:rsid w:val="38C74CDB"/>
    <w:rsid w:val="38CE1F09"/>
    <w:rsid w:val="38CF7929"/>
    <w:rsid w:val="38F043D4"/>
    <w:rsid w:val="38FD4AFF"/>
    <w:rsid w:val="39094F75"/>
    <w:rsid w:val="39154ED3"/>
    <w:rsid w:val="393F2E44"/>
    <w:rsid w:val="398461A3"/>
    <w:rsid w:val="399171F6"/>
    <w:rsid w:val="39A455A3"/>
    <w:rsid w:val="39BC0246"/>
    <w:rsid w:val="39BD28E1"/>
    <w:rsid w:val="39D3066D"/>
    <w:rsid w:val="39E03E91"/>
    <w:rsid w:val="3A406742"/>
    <w:rsid w:val="3A506560"/>
    <w:rsid w:val="3A5217AE"/>
    <w:rsid w:val="3A931BD3"/>
    <w:rsid w:val="3ACB1B2E"/>
    <w:rsid w:val="3AD65671"/>
    <w:rsid w:val="3AEB2C90"/>
    <w:rsid w:val="3AF45E33"/>
    <w:rsid w:val="3AFC3FDB"/>
    <w:rsid w:val="3B125CE7"/>
    <w:rsid w:val="3B2E692B"/>
    <w:rsid w:val="3B341F58"/>
    <w:rsid w:val="3B752E24"/>
    <w:rsid w:val="3B852A49"/>
    <w:rsid w:val="3BA25E01"/>
    <w:rsid w:val="3BE33F94"/>
    <w:rsid w:val="3BEC17D9"/>
    <w:rsid w:val="3BFD3357"/>
    <w:rsid w:val="3C201B8D"/>
    <w:rsid w:val="3C374D57"/>
    <w:rsid w:val="3C5D7519"/>
    <w:rsid w:val="3C676679"/>
    <w:rsid w:val="3C6E65F3"/>
    <w:rsid w:val="3C764A8F"/>
    <w:rsid w:val="3CAF0E81"/>
    <w:rsid w:val="3CBF6988"/>
    <w:rsid w:val="3CD249E9"/>
    <w:rsid w:val="3D0465CB"/>
    <w:rsid w:val="3D125CA6"/>
    <w:rsid w:val="3D1D57FA"/>
    <w:rsid w:val="3D3F748B"/>
    <w:rsid w:val="3D555F9E"/>
    <w:rsid w:val="3D646A4F"/>
    <w:rsid w:val="3D8B5DA2"/>
    <w:rsid w:val="3DA7007D"/>
    <w:rsid w:val="3DBA5EB2"/>
    <w:rsid w:val="3DDC3CC1"/>
    <w:rsid w:val="3DEB7273"/>
    <w:rsid w:val="3E067B55"/>
    <w:rsid w:val="3E0F094E"/>
    <w:rsid w:val="3E1365B3"/>
    <w:rsid w:val="3E34669D"/>
    <w:rsid w:val="3E4E7D5E"/>
    <w:rsid w:val="3E7E4CE5"/>
    <w:rsid w:val="3E7E4E9B"/>
    <w:rsid w:val="3EAE7917"/>
    <w:rsid w:val="3EBE5856"/>
    <w:rsid w:val="3ECE23E7"/>
    <w:rsid w:val="3EE114BC"/>
    <w:rsid w:val="3EE72A29"/>
    <w:rsid w:val="3EF607CF"/>
    <w:rsid w:val="3EFD030F"/>
    <w:rsid w:val="3F57018A"/>
    <w:rsid w:val="3F60674E"/>
    <w:rsid w:val="3F7171EF"/>
    <w:rsid w:val="3F83107A"/>
    <w:rsid w:val="3FDB4422"/>
    <w:rsid w:val="3FE51525"/>
    <w:rsid w:val="40283AC5"/>
    <w:rsid w:val="406C66E6"/>
    <w:rsid w:val="409F25E2"/>
    <w:rsid w:val="40AB4B02"/>
    <w:rsid w:val="40B5444B"/>
    <w:rsid w:val="40CD25C6"/>
    <w:rsid w:val="40D0236D"/>
    <w:rsid w:val="40D660E4"/>
    <w:rsid w:val="411960F2"/>
    <w:rsid w:val="411E7554"/>
    <w:rsid w:val="41376AB1"/>
    <w:rsid w:val="41420CB5"/>
    <w:rsid w:val="414A3DB7"/>
    <w:rsid w:val="415A2622"/>
    <w:rsid w:val="41697A19"/>
    <w:rsid w:val="417C43FB"/>
    <w:rsid w:val="418C37F4"/>
    <w:rsid w:val="4192712C"/>
    <w:rsid w:val="419F7099"/>
    <w:rsid w:val="41A73DF5"/>
    <w:rsid w:val="41C51E88"/>
    <w:rsid w:val="41DE52DA"/>
    <w:rsid w:val="41E353EC"/>
    <w:rsid w:val="42104B79"/>
    <w:rsid w:val="421255B5"/>
    <w:rsid w:val="42592B10"/>
    <w:rsid w:val="426162D1"/>
    <w:rsid w:val="427B6CC5"/>
    <w:rsid w:val="42912CA7"/>
    <w:rsid w:val="42A25C34"/>
    <w:rsid w:val="42BC47DC"/>
    <w:rsid w:val="42D91C62"/>
    <w:rsid w:val="42DE1218"/>
    <w:rsid w:val="434D7DDF"/>
    <w:rsid w:val="435E383A"/>
    <w:rsid w:val="43E72176"/>
    <w:rsid w:val="44157128"/>
    <w:rsid w:val="44402CD9"/>
    <w:rsid w:val="44407FA2"/>
    <w:rsid w:val="44423BF4"/>
    <w:rsid w:val="44B00C69"/>
    <w:rsid w:val="44D6347D"/>
    <w:rsid w:val="44F56C3E"/>
    <w:rsid w:val="450B0C6F"/>
    <w:rsid w:val="45102F7A"/>
    <w:rsid w:val="45271E9D"/>
    <w:rsid w:val="45395833"/>
    <w:rsid w:val="458C3ADA"/>
    <w:rsid w:val="45AA1721"/>
    <w:rsid w:val="45C06872"/>
    <w:rsid w:val="45C55F65"/>
    <w:rsid w:val="46300ED7"/>
    <w:rsid w:val="468705F9"/>
    <w:rsid w:val="468E7037"/>
    <w:rsid w:val="46BC3F87"/>
    <w:rsid w:val="46C64D52"/>
    <w:rsid w:val="46D063A7"/>
    <w:rsid w:val="470E5349"/>
    <w:rsid w:val="470F049F"/>
    <w:rsid w:val="47225C62"/>
    <w:rsid w:val="473A70E2"/>
    <w:rsid w:val="47413328"/>
    <w:rsid w:val="474802F7"/>
    <w:rsid w:val="475461D3"/>
    <w:rsid w:val="479B6830"/>
    <w:rsid w:val="47C25029"/>
    <w:rsid w:val="47C705BC"/>
    <w:rsid w:val="47DC0986"/>
    <w:rsid w:val="47E26891"/>
    <w:rsid w:val="481C12EA"/>
    <w:rsid w:val="48353727"/>
    <w:rsid w:val="486E4BA9"/>
    <w:rsid w:val="488D7E58"/>
    <w:rsid w:val="48AA55AB"/>
    <w:rsid w:val="48AC21E5"/>
    <w:rsid w:val="49273580"/>
    <w:rsid w:val="49520D05"/>
    <w:rsid w:val="496E71D3"/>
    <w:rsid w:val="498A1C41"/>
    <w:rsid w:val="498C7BD3"/>
    <w:rsid w:val="49945130"/>
    <w:rsid w:val="49AA46B5"/>
    <w:rsid w:val="49B96A41"/>
    <w:rsid w:val="49C50FB6"/>
    <w:rsid w:val="49C71CD1"/>
    <w:rsid w:val="49E739D8"/>
    <w:rsid w:val="49F36B47"/>
    <w:rsid w:val="4A5855F0"/>
    <w:rsid w:val="4A747D4D"/>
    <w:rsid w:val="4A78763A"/>
    <w:rsid w:val="4A865E9E"/>
    <w:rsid w:val="4AB428A8"/>
    <w:rsid w:val="4ABD6B08"/>
    <w:rsid w:val="4ABF408F"/>
    <w:rsid w:val="4B2B0407"/>
    <w:rsid w:val="4B8B33E5"/>
    <w:rsid w:val="4BA65369"/>
    <w:rsid w:val="4BC4753E"/>
    <w:rsid w:val="4BD56E1B"/>
    <w:rsid w:val="4C1017CD"/>
    <w:rsid w:val="4C267362"/>
    <w:rsid w:val="4C3C13F3"/>
    <w:rsid w:val="4C4B4B29"/>
    <w:rsid w:val="4C676C7A"/>
    <w:rsid w:val="4C7215A3"/>
    <w:rsid w:val="4C7902C9"/>
    <w:rsid w:val="4C916E33"/>
    <w:rsid w:val="4C9E08E1"/>
    <w:rsid w:val="4CB37417"/>
    <w:rsid w:val="4CBC1015"/>
    <w:rsid w:val="4D0B0FD2"/>
    <w:rsid w:val="4D0E28B5"/>
    <w:rsid w:val="4D285814"/>
    <w:rsid w:val="4D2F190E"/>
    <w:rsid w:val="4D392E11"/>
    <w:rsid w:val="4D3E4E44"/>
    <w:rsid w:val="4D4569AA"/>
    <w:rsid w:val="4D4E3269"/>
    <w:rsid w:val="4D7211E8"/>
    <w:rsid w:val="4D810486"/>
    <w:rsid w:val="4D9C0885"/>
    <w:rsid w:val="4DB97545"/>
    <w:rsid w:val="4DEF5AE8"/>
    <w:rsid w:val="4E31623C"/>
    <w:rsid w:val="4E47742B"/>
    <w:rsid w:val="4E4858ED"/>
    <w:rsid w:val="4E4938C7"/>
    <w:rsid w:val="4E506ECC"/>
    <w:rsid w:val="4E8A2175"/>
    <w:rsid w:val="4EAC2F99"/>
    <w:rsid w:val="4EBA61B8"/>
    <w:rsid w:val="4ED2471D"/>
    <w:rsid w:val="4EE9696D"/>
    <w:rsid w:val="4F301B8E"/>
    <w:rsid w:val="4F372899"/>
    <w:rsid w:val="4F3A5E6C"/>
    <w:rsid w:val="4F542C2B"/>
    <w:rsid w:val="4FA434BC"/>
    <w:rsid w:val="4FA53664"/>
    <w:rsid w:val="4FB246C0"/>
    <w:rsid w:val="4FD840E5"/>
    <w:rsid w:val="50081FB4"/>
    <w:rsid w:val="500F4FDE"/>
    <w:rsid w:val="5010183A"/>
    <w:rsid w:val="503F0C29"/>
    <w:rsid w:val="50431BBD"/>
    <w:rsid w:val="50AE22E7"/>
    <w:rsid w:val="50BD3886"/>
    <w:rsid w:val="50D26E11"/>
    <w:rsid w:val="50EF16C4"/>
    <w:rsid w:val="51294219"/>
    <w:rsid w:val="515C470D"/>
    <w:rsid w:val="515E5265"/>
    <w:rsid w:val="51741D71"/>
    <w:rsid w:val="51835D56"/>
    <w:rsid w:val="51876398"/>
    <w:rsid w:val="519914A2"/>
    <w:rsid w:val="51A900B1"/>
    <w:rsid w:val="51B57919"/>
    <w:rsid w:val="520B7669"/>
    <w:rsid w:val="52110C0B"/>
    <w:rsid w:val="5250234B"/>
    <w:rsid w:val="52652BCD"/>
    <w:rsid w:val="5273184C"/>
    <w:rsid w:val="52734ACE"/>
    <w:rsid w:val="527419D0"/>
    <w:rsid w:val="52777D75"/>
    <w:rsid w:val="527F0E38"/>
    <w:rsid w:val="529B6B2E"/>
    <w:rsid w:val="52BD144F"/>
    <w:rsid w:val="52DA57E7"/>
    <w:rsid w:val="52DE25C9"/>
    <w:rsid w:val="52F076BA"/>
    <w:rsid w:val="5313491B"/>
    <w:rsid w:val="532323B8"/>
    <w:rsid w:val="533F1F2C"/>
    <w:rsid w:val="53621109"/>
    <w:rsid w:val="536D7531"/>
    <w:rsid w:val="53722B1D"/>
    <w:rsid w:val="537B3D55"/>
    <w:rsid w:val="53936C44"/>
    <w:rsid w:val="53977913"/>
    <w:rsid w:val="53AD3E4A"/>
    <w:rsid w:val="53D01E7A"/>
    <w:rsid w:val="53D75875"/>
    <w:rsid w:val="541A27D6"/>
    <w:rsid w:val="54332164"/>
    <w:rsid w:val="544E3C7A"/>
    <w:rsid w:val="54B624A9"/>
    <w:rsid w:val="54C57F90"/>
    <w:rsid w:val="54CF097A"/>
    <w:rsid w:val="55096969"/>
    <w:rsid w:val="55315FA7"/>
    <w:rsid w:val="55320996"/>
    <w:rsid w:val="55504E0A"/>
    <w:rsid w:val="558A60FD"/>
    <w:rsid w:val="55960819"/>
    <w:rsid w:val="55982437"/>
    <w:rsid w:val="559A0129"/>
    <w:rsid w:val="55E36A84"/>
    <w:rsid w:val="56052997"/>
    <w:rsid w:val="5628162D"/>
    <w:rsid w:val="5647314B"/>
    <w:rsid w:val="56531D9C"/>
    <w:rsid w:val="566C1D85"/>
    <w:rsid w:val="566D09B1"/>
    <w:rsid w:val="5672261C"/>
    <w:rsid w:val="567423F3"/>
    <w:rsid w:val="56751A2D"/>
    <w:rsid w:val="56C35A18"/>
    <w:rsid w:val="56ED66FC"/>
    <w:rsid w:val="56F15890"/>
    <w:rsid w:val="573731FF"/>
    <w:rsid w:val="575D1553"/>
    <w:rsid w:val="57815D51"/>
    <w:rsid w:val="579D6A84"/>
    <w:rsid w:val="580B217C"/>
    <w:rsid w:val="58152EB3"/>
    <w:rsid w:val="588B1C0A"/>
    <w:rsid w:val="588D4953"/>
    <w:rsid w:val="58B15F3E"/>
    <w:rsid w:val="58FB4B04"/>
    <w:rsid w:val="590F6D02"/>
    <w:rsid w:val="59292120"/>
    <w:rsid w:val="593A2368"/>
    <w:rsid w:val="59753B70"/>
    <w:rsid w:val="59BB20A2"/>
    <w:rsid w:val="59C722CC"/>
    <w:rsid w:val="5A950C22"/>
    <w:rsid w:val="5AA30951"/>
    <w:rsid w:val="5AA97CB0"/>
    <w:rsid w:val="5AD73505"/>
    <w:rsid w:val="5AE32F51"/>
    <w:rsid w:val="5B023EA8"/>
    <w:rsid w:val="5B0E5279"/>
    <w:rsid w:val="5B201161"/>
    <w:rsid w:val="5B816162"/>
    <w:rsid w:val="5B8E7E06"/>
    <w:rsid w:val="5BAC569D"/>
    <w:rsid w:val="5BAD642F"/>
    <w:rsid w:val="5BAF392F"/>
    <w:rsid w:val="5BB626A5"/>
    <w:rsid w:val="5BBE03F5"/>
    <w:rsid w:val="5BEF11EC"/>
    <w:rsid w:val="5BFB6E86"/>
    <w:rsid w:val="5C1C21EE"/>
    <w:rsid w:val="5C5A036C"/>
    <w:rsid w:val="5C6C13CB"/>
    <w:rsid w:val="5C792BA8"/>
    <w:rsid w:val="5CD86E66"/>
    <w:rsid w:val="5CFE0416"/>
    <w:rsid w:val="5D367213"/>
    <w:rsid w:val="5D3F6BED"/>
    <w:rsid w:val="5D482EF8"/>
    <w:rsid w:val="5D4B77B6"/>
    <w:rsid w:val="5D524939"/>
    <w:rsid w:val="5D5A599E"/>
    <w:rsid w:val="5D792893"/>
    <w:rsid w:val="5DCC2FFC"/>
    <w:rsid w:val="5DF446F6"/>
    <w:rsid w:val="5E166584"/>
    <w:rsid w:val="5E201241"/>
    <w:rsid w:val="5E2028D4"/>
    <w:rsid w:val="5E442AFC"/>
    <w:rsid w:val="5E9B1694"/>
    <w:rsid w:val="5EBB0491"/>
    <w:rsid w:val="5ED7271A"/>
    <w:rsid w:val="5EFC3042"/>
    <w:rsid w:val="5F1C0238"/>
    <w:rsid w:val="5F221560"/>
    <w:rsid w:val="5F437BE3"/>
    <w:rsid w:val="5FD26C6F"/>
    <w:rsid w:val="5FDD61A1"/>
    <w:rsid w:val="5FE024B0"/>
    <w:rsid w:val="5FE93C9F"/>
    <w:rsid w:val="5FFD5DBC"/>
    <w:rsid w:val="60072A8A"/>
    <w:rsid w:val="60284FB3"/>
    <w:rsid w:val="603F3DBC"/>
    <w:rsid w:val="605F193B"/>
    <w:rsid w:val="60657F66"/>
    <w:rsid w:val="60722C45"/>
    <w:rsid w:val="6076570E"/>
    <w:rsid w:val="608B0155"/>
    <w:rsid w:val="60BC7542"/>
    <w:rsid w:val="60D65385"/>
    <w:rsid w:val="60DA6AF4"/>
    <w:rsid w:val="60FD6ACB"/>
    <w:rsid w:val="610D2B2C"/>
    <w:rsid w:val="611C4C4C"/>
    <w:rsid w:val="612D464D"/>
    <w:rsid w:val="61513D7F"/>
    <w:rsid w:val="615260AA"/>
    <w:rsid w:val="61532505"/>
    <w:rsid w:val="61CB4589"/>
    <w:rsid w:val="61D470F6"/>
    <w:rsid w:val="61E51C6E"/>
    <w:rsid w:val="61F91D41"/>
    <w:rsid w:val="6202335C"/>
    <w:rsid w:val="621F7739"/>
    <w:rsid w:val="622B7C7D"/>
    <w:rsid w:val="625F3EBD"/>
    <w:rsid w:val="626B1E74"/>
    <w:rsid w:val="62731D79"/>
    <w:rsid w:val="629E0BD9"/>
    <w:rsid w:val="62A5395C"/>
    <w:rsid w:val="62A773B6"/>
    <w:rsid w:val="62C04AE0"/>
    <w:rsid w:val="62D30E87"/>
    <w:rsid w:val="62E5026A"/>
    <w:rsid w:val="62E51C09"/>
    <w:rsid w:val="62E85AE8"/>
    <w:rsid w:val="62F14065"/>
    <w:rsid w:val="630A0D49"/>
    <w:rsid w:val="630A5930"/>
    <w:rsid w:val="6313184B"/>
    <w:rsid w:val="632F3B0D"/>
    <w:rsid w:val="63450BF4"/>
    <w:rsid w:val="635A5DE5"/>
    <w:rsid w:val="635C5765"/>
    <w:rsid w:val="637D7E57"/>
    <w:rsid w:val="638F2861"/>
    <w:rsid w:val="6395348A"/>
    <w:rsid w:val="63B041F4"/>
    <w:rsid w:val="63FB689F"/>
    <w:rsid w:val="640754D0"/>
    <w:rsid w:val="641A7447"/>
    <w:rsid w:val="6423561E"/>
    <w:rsid w:val="64274654"/>
    <w:rsid w:val="64403A8A"/>
    <w:rsid w:val="64493C83"/>
    <w:rsid w:val="646E652B"/>
    <w:rsid w:val="647705B4"/>
    <w:rsid w:val="64946AB1"/>
    <w:rsid w:val="64AA29F6"/>
    <w:rsid w:val="64B50FBE"/>
    <w:rsid w:val="64C86A9C"/>
    <w:rsid w:val="64C96E6A"/>
    <w:rsid w:val="64D37B98"/>
    <w:rsid w:val="64DA5A2E"/>
    <w:rsid w:val="65114028"/>
    <w:rsid w:val="651B5C1E"/>
    <w:rsid w:val="652D74FF"/>
    <w:rsid w:val="65446AD0"/>
    <w:rsid w:val="65626C1A"/>
    <w:rsid w:val="65A03AF2"/>
    <w:rsid w:val="65A44A49"/>
    <w:rsid w:val="660B6DCE"/>
    <w:rsid w:val="662E4AC3"/>
    <w:rsid w:val="664D0381"/>
    <w:rsid w:val="665C058D"/>
    <w:rsid w:val="6685283D"/>
    <w:rsid w:val="66977B87"/>
    <w:rsid w:val="66D93EA6"/>
    <w:rsid w:val="66DC7501"/>
    <w:rsid w:val="67074E72"/>
    <w:rsid w:val="67087E30"/>
    <w:rsid w:val="67090CF4"/>
    <w:rsid w:val="674459FE"/>
    <w:rsid w:val="675D2BAD"/>
    <w:rsid w:val="676308CF"/>
    <w:rsid w:val="676B503B"/>
    <w:rsid w:val="679D53FC"/>
    <w:rsid w:val="67CF686D"/>
    <w:rsid w:val="680C1CD1"/>
    <w:rsid w:val="682839DF"/>
    <w:rsid w:val="683B295E"/>
    <w:rsid w:val="68596B78"/>
    <w:rsid w:val="68D33774"/>
    <w:rsid w:val="68DD68C9"/>
    <w:rsid w:val="68EC42BB"/>
    <w:rsid w:val="690945E2"/>
    <w:rsid w:val="69244558"/>
    <w:rsid w:val="696047C4"/>
    <w:rsid w:val="697705B0"/>
    <w:rsid w:val="69830EB3"/>
    <w:rsid w:val="69A21AA4"/>
    <w:rsid w:val="69D742A8"/>
    <w:rsid w:val="69E65944"/>
    <w:rsid w:val="6A0C4780"/>
    <w:rsid w:val="6A376428"/>
    <w:rsid w:val="6A3C0B34"/>
    <w:rsid w:val="6A424474"/>
    <w:rsid w:val="6A43333E"/>
    <w:rsid w:val="6A4E6DC5"/>
    <w:rsid w:val="6A5D3AF2"/>
    <w:rsid w:val="6A79390C"/>
    <w:rsid w:val="6AB27F3A"/>
    <w:rsid w:val="6ABD3F90"/>
    <w:rsid w:val="6AED7358"/>
    <w:rsid w:val="6B0441CB"/>
    <w:rsid w:val="6B125222"/>
    <w:rsid w:val="6B3A15EE"/>
    <w:rsid w:val="6B4D46CC"/>
    <w:rsid w:val="6BB31ED4"/>
    <w:rsid w:val="6BCB7B37"/>
    <w:rsid w:val="6BFC6CBE"/>
    <w:rsid w:val="6C073943"/>
    <w:rsid w:val="6C3B2B34"/>
    <w:rsid w:val="6C661677"/>
    <w:rsid w:val="6C6C607F"/>
    <w:rsid w:val="6C80326E"/>
    <w:rsid w:val="6C8C1FBA"/>
    <w:rsid w:val="6C8F5223"/>
    <w:rsid w:val="6CD2638B"/>
    <w:rsid w:val="6D112387"/>
    <w:rsid w:val="6D4E3277"/>
    <w:rsid w:val="6D626CBA"/>
    <w:rsid w:val="6D8D0A77"/>
    <w:rsid w:val="6D937AA0"/>
    <w:rsid w:val="6DAB71BF"/>
    <w:rsid w:val="6DB41D06"/>
    <w:rsid w:val="6DC520BA"/>
    <w:rsid w:val="6DC55842"/>
    <w:rsid w:val="6DC8183F"/>
    <w:rsid w:val="6DCA5058"/>
    <w:rsid w:val="6DFD5172"/>
    <w:rsid w:val="6DFE128E"/>
    <w:rsid w:val="6E16410D"/>
    <w:rsid w:val="6E1A400E"/>
    <w:rsid w:val="6E365330"/>
    <w:rsid w:val="6E653731"/>
    <w:rsid w:val="6E675DBF"/>
    <w:rsid w:val="6EA568C0"/>
    <w:rsid w:val="6EB15866"/>
    <w:rsid w:val="6ED41DDD"/>
    <w:rsid w:val="6F032EE3"/>
    <w:rsid w:val="6F3C2E73"/>
    <w:rsid w:val="6F5C4C5E"/>
    <w:rsid w:val="6F63036B"/>
    <w:rsid w:val="6F6459DF"/>
    <w:rsid w:val="6F707D52"/>
    <w:rsid w:val="6FAC05B8"/>
    <w:rsid w:val="6FBC0995"/>
    <w:rsid w:val="6FC957FC"/>
    <w:rsid w:val="6FCD50AD"/>
    <w:rsid w:val="6FCE7427"/>
    <w:rsid w:val="6FD84ACC"/>
    <w:rsid w:val="6FE87928"/>
    <w:rsid w:val="700F7B45"/>
    <w:rsid w:val="70300F5F"/>
    <w:rsid w:val="70547065"/>
    <w:rsid w:val="707367A3"/>
    <w:rsid w:val="707D560E"/>
    <w:rsid w:val="709C7CB7"/>
    <w:rsid w:val="70CB503B"/>
    <w:rsid w:val="70E20A2B"/>
    <w:rsid w:val="710E29AA"/>
    <w:rsid w:val="711F7117"/>
    <w:rsid w:val="71277A7F"/>
    <w:rsid w:val="7136058C"/>
    <w:rsid w:val="71602CF8"/>
    <w:rsid w:val="716D7983"/>
    <w:rsid w:val="719F5E00"/>
    <w:rsid w:val="71A141D3"/>
    <w:rsid w:val="71A2795E"/>
    <w:rsid w:val="71C1721E"/>
    <w:rsid w:val="71C21AB4"/>
    <w:rsid w:val="71D14261"/>
    <w:rsid w:val="71D21BB2"/>
    <w:rsid w:val="71EE1975"/>
    <w:rsid w:val="72331E1F"/>
    <w:rsid w:val="72655D65"/>
    <w:rsid w:val="72811E72"/>
    <w:rsid w:val="72A7080F"/>
    <w:rsid w:val="72B1282C"/>
    <w:rsid w:val="72B93FE3"/>
    <w:rsid w:val="73020862"/>
    <w:rsid w:val="7310428A"/>
    <w:rsid w:val="73107AA8"/>
    <w:rsid w:val="733514A4"/>
    <w:rsid w:val="735F5289"/>
    <w:rsid w:val="736C5A22"/>
    <w:rsid w:val="736F58F1"/>
    <w:rsid w:val="737926B4"/>
    <w:rsid w:val="737A5273"/>
    <w:rsid w:val="73B259C1"/>
    <w:rsid w:val="73C32388"/>
    <w:rsid w:val="73C60DF1"/>
    <w:rsid w:val="73CA47E9"/>
    <w:rsid w:val="73F1067F"/>
    <w:rsid w:val="740A68BC"/>
    <w:rsid w:val="743216B4"/>
    <w:rsid w:val="7492112E"/>
    <w:rsid w:val="7495150B"/>
    <w:rsid w:val="74FC3EBD"/>
    <w:rsid w:val="752B6090"/>
    <w:rsid w:val="7534452D"/>
    <w:rsid w:val="753F70A3"/>
    <w:rsid w:val="75493EA2"/>
    <w:rsid w:val="755F7D2B"/>
    <w:rsid w:val="757E0395"/>
    <w:rsid w:val="7582273D"/>
    <w:rsid w:val="759E71D9"/>
    <w:rsid w:val="75D46C06"/>
    <w:rsid w:val="75DD12BB"/>
    <w:rsid w:val="75F504F5"/>
    <w:rsid w:val="762D791D"/>
    <w:rsid w:val="765F3753"/>
    <w:rsid w:val="76773D6B"/>
    <w:rsid w:val="76982301"/>
    <w:rsid w:val="769D5AFA"/>
    <w:rsid w:val="769F3352"/>
    <w:rsid w:val="76A75624"/>
    <w:rsid w:val="76BC77B7"/>
    <w:rsid w:val="772B14A8"/>
    <w:rsid w:val="772B3DFA"/>
    <w:rsid w:val="77332829"/>
    <w:rsid w:val="77373DB9"/>
    <w:rsid w:val="773F3A2A"/>
    <w:rsid w:val="77545C35"/>
    <w:rsid w:val="775B2CFA"/>
    <w:rsid w:val="776B1236"/>
    <w:rsid w:val="7781732A"/>
    <w:rsid w:val="77943AF6"/>
    <w:rsid w:val="77AB69D6"/>
    <w:rsid w:val="77BD63C9"/>
    <w:rsid w:val="77ED4BED"/>
    <w:rsid w:val="77F12E83"/>
    <w:rsid w:val="780A1C7B"/>
    <w:rsid w:val="781715C1"/>
    <w:rsid w:val="781A7B5D"/>
    <w:rsid w:val="784671D7"/>
    <w:rsid w:val="784F2C8F"/>
    <w:rsid w:val="78542808"/>
    <w:rsid w:val="785D60D9"/>
    <w:rsid w:val="78641259"/>
    <w:rsid w:val="78673D21"/>
    <w:rsid w:val="78A705BB"/>
    <w:rsid w:val="78A84730"/>
    <w:rsid w:val="78CF2144"/>
    <w:rsid w:val="78DD42A2"/>
    <w:rsid w:val="78F82958"/>
    <w:rsid w:val="78FF1F6E"/>
    <w:rsid w:val="79067DAE"/>
    <w:rsid w:val="79205B97"/>
    <w:rsid w:val="79387648"/>
    <w:rsid w:val="795947A9"/>
    <w:rsid w:val="799B22FC"/>
    <w:rsid w:val="79CB5136"/>
    <w:rsid w:val="79CE598E"/>
    <w:rsid w:val="79ED0E6E"/>
    <w:rsid w:val="79F519DB"/>
    <w:rsid w:val="7A2911AD"/>
    <w:rsid w:val="7A4141B3"/>
    <w:rsid w:val="7A442FF7"/>
    <w:rsid w:val="7A4E0704"/>
    <w:rsid w:val="7A5407FC"/>
    <w:rsid w:val="7A6C654E"/>
    <w:rsid w:val="7A8D59EE"/>
    <w:rsid w:val="7A97552F"/>
    <w:rsid w:val="7AE27F66"/>
    <w:rsid w:val="7AE32903"/>
    <w:rsid w:val="7B276278"/>
    <w:rsid w:val="7B660991"/>
    <w:rsid w:val="7BA0351C"/>
    <w:rsid w:val="7BAD27E7"/>
    <w:rsid w:val="7BEB1F79"/>
    <w:rsid w:val="7BF613B4"/>
    <w:rsid w:val="7C273AED"/>
    <w:rsid w:val="7C425D04"/>
    <w:rsid w:val="7C841839"/>
    <w:rsid w:val="7C967035"/>
    <w:rsid w:val="7C9C4F27"/>
    <w:rsid w:val="7CD3090F"/>
    <w:rsid w:val="7CD54410"/>
    <w:rsid w:val="7CE209F4"/>
    <w:rsid w:val="7CE745F3"/>
    <w:rsid w:val="7CF67A13"/>
    <w:rsid w:val="7CF9759C"/>
    <w:rsid w:val="7D070D0C"/>
    <w:rsid w:val="7D3204FE"/>
    <w:rsid w:val="7D320E5C"/>
    <w:rsid w:val="7D394BC3"/>
    <w:rsid w:val="7D6906F7"/>
    <w:rsid w:val="7D963123"/>
    <w:rsid w:val="7D9B0EF0"/>
    <w:rsid w:val="7D9F2AD5"/>
    <w:rsid w:val="7DB62D59"/>
    <w:rsid w:val="7DB6317D"/>
    <w:rsid w:val="7DE0551D"/>
    <w:rsid w:val="7DF26062"/>
    <w:rsid w:val="7E50548E"/>
    <w:rsid w:val="7E535B74"/>
    <w:rsid w:val="7E5A62EB"/>
    <w:rsid w:val="7E802029"/>
    <w:rsid w:val="7E813604"/>
    <w:rsid w:val="7EB058EA"/>
    <w:rsid w:val="7EC95157"/>
    <w:rsid w:val="7ED3379F"/>
    <w:rsid w:val="7EE021C8"/>
    <w:rsid w:val="7EF6335F"/>
    <w:rsid w:val="7F0945A4"/>
    <w:rsid w:val="7F126BCF"/>
    <w:rsid w:val="7F1453E1"/>
    <w:rsid w:val="7F2E2A4E"/>
    <w:rsid w:val="7F2F3D21"/>
    <w:rsid w:val="7F317BDD"/>
    <w:rsid w:val="7F4F37E3"/>
    <w:rsid w:val="7F527470"/>
    <w:rsid w:val="7F802C1B"/>
    <w:rsid w:val="7F8523CE"/>
    <w:rsid w:val="7FA41B86"/>
    <w:rsid w:val="7FD55932"/>
    <w:rsid w:val="7FE37A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1"/>
    <w:qFormat/>
    <w:uiPriority w:val="0"/>
    <w:pPr>
      <w:keepNext/>
      <w:keepLines/>
      <w:pageBreakBefore/>
      <w:tabs>
        <w:tab w:val="left" w:pos="425"/>
      </w:tabs>
      <w:snapToGrid w:val="0"/>
      <w:spacing w:before="0" w:after="0" w:line="360" w:lineRule="auto"/>
    </w:pPr>
    <w:rPr>
      <w:rFonts w:ascii="Times New Roman" w:hAnsi="Times New Roman"/>
      <w:bCs w:val="0"/>
      <w:color w:val="000000"/>
      <w:kern w:val="44"/>
      <w:sz w:val="36"/>
      <w:szCs w:val="36"/>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7"/>
    <w:qFormat/>
    <w:uiPriority w:val="0"/>
    <w:pPr>
      <w:widowControl/>
      <w:spacing w:before="100" w:beforeAutospacing="1" w:after="100" w:afterAutospacing="1"/>
      <w:jc w:val="left"/>
      <w:outlineLvl w:val="2"/>
    </w:pPr>
    <w:rPr>
      <w:rFonts w:ascii="宋体" w:hAnsi="宋体" w:cs="宋体"/>
      <w:b/>
      <w:bCs/>
      <w:kern w:val="0"/>
      <w:sz w:val="27"/>
      <w:szCs w:val="27"/>
    </w:rPr>
  </w:style>
  <w:style w:type="paragraph" w:styleId="6">
    <w:name w:val="heading 4"/>
    <w:basedOn w:val="1"/>
    <w:next w:val="1"/>
    <w:link w:val="42"/>
    <w:qFormat/>
    <w:uiPriority w:val="0"/>
    <w:pPr>
      <w:keepNext/>
      <w:keepLines/>
      <w:widowControl/>
      <w:tabs>
        <w:tab w:val="left" w:pos="2007"/>
      </w:tabs>
      <w:spacing w:before="100" w:beforeAutospacing="1" w:afterLines="100" w:line="520" w:lineRule="atLeast"/>
      <w:ind w:left="1275" w:hanging="708"/>
      <w:outlineLvl w:val="3"/>
    </w:pPr>
    <w:rPr>
      <w:rFonts w:hAnsi="黑体" w:eastAsia="黑体"/>
      <w:color w:val="000000"/>
      <w:kern w:val="0"/>
      <w:sz w:val="28"/>
      <w:szCs w:val="28"/>
    </w:rPr>
  </w:style>
  <w:style w:type="character" w:default="1" w:styleId="16">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3">
    <w:name w:val="Title"/>
    <w:basedOn w:val="1"/>
    <w:next w:val="1"/>
    <w:link w:val="43"/>
    <w:qFormat/>
    <w:uiPriority w:val="0"/>
    <w:pPr>
      <w:spacing w:before="240" w:after="60"/>
      <w:jc w:val="center"/>
      <w:outlineLvl w:val="0"/>
    </w:pPr>
    <w:rPr>
      <w:rFonts w:ascii="Cambria" w:hAnsi="Cambria"/>
      <w:b/>
      <w:bCs/>
      <w:sz w:val="32"/>
      <w:szCs w:val="32"/>
    </w:rPr>
  </w:style>
  <w:style w:type="paragraph" w:styleId="7">
    <w:name w:val="Normal Indent"/>
    <w:basedOn w:val="1"/>
    <w:qFormat/>
    <w:uiPriority w:val="0"/>
    <w:pPr>
      <w:ind w:firstLine="420" w:firstLineChars="200"/>
    </w:pPr>
  </w:style>
  <w:style w:type="paragraph" w:styleId="8">
    <w:name w:val="Body Text"/>
    <w:basedOn w:val="1"/>
    <w:qFormat/>
    <w:uiPriority w:val="0"/>
    <w:pPr>
      <w:spacing w:after="120"/>
    </w:pPr>
  </w:style>
  <w:style w:type="paragraph" w:styleId="9">
    <w:name w:val="toc 3"/>
    <w:basedOn w:val="1"/>
    <w:next w:val="1"/>
    <w:qFormat/>
    <w:uiPriority w:val="39"/>
    <w:pPr>
      <w:ind w:left="840" w:leftChars="400"/>
    </w:pPr>
  </w:style>
  <w:style w:type="paragraph" w:styleId="10">
    <w:name w:val="Date"/>
    <w:basedOn w:val="1"/>
    <w:next w:val="1"/>
    <w:qFormat/>
    <w:uiPriority w:val="0"/>
    <w:pPr>
      <w:ind w:left="100" w:leftChars="2500"/>
    </w:pPr>
  </w:style>
  <w:style w:type="paragraph" w:styleId="11">
    <w:name w:val="Balloon Text"/>
    <w:basedOn w:val="1"/>
    <w:link w:val="46"/>
    <w:semiHidden/>
    <w:unhideWhenUsed/>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074"/>
      </w:tabs>
      <w:spacing w:line="360" w:lineRule="auto"/>
    </w:pPr>
    <w:rPr>
      <w:rFonts w:hAnsi="宋体"/>
      <w:b/>
      <w:sz w:val="24"/>
    </w:rPr>
  </w:style>
  <w:style w:type="paragraph" w:styleId="15">
    <w:name w:val="toc 2"/>
    <w:basedOn w:val="1"/>
    <w:next w:val="1"/>
    <w:qFormat/>
    <w:uiPriority w:val="39"/>
    <w:pPr>
      <w:ind w:left="420" w:leftChars="200"/>
    </w:pPr>
  </w:style>
  <w:style w:type="character" w:styleId="17">
    <w:name w:val="page number"/>
    <w:basedOn w:val="16"/>
    <w:qFormat/>
    <w:uiPriority w:val="0"/>
  </w:style>
  <w:style w:type="character" w:styleId="18">
    <w:name w:val="Hyperlink"/>
    <w:qFormat/>
    <w:uiPriority w:val="99"/>
    <w:rPr>
      <w:color w:val="0000FF"/>
      <w:u w:val="single"/>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样式 宋体 小四 行距: 1.5 倍行距 Char Char"/>
    <w:link w:val="22"/>
    <w:qFormat/>
    <w:uiPriority w:val="0"/>
    <w:rPr>
      <w:kern w:val="2"/>
      <w:sz w:val="24"/>
      <w:lang w:bidi="ar-SA"/>
    </w:rPr>
  </w:style>
  <w:style w:type="paragraph" w:customStyle="1" w:styleId="22">
    <w:name w:val="样式 宋体 小四 行距: 1.5 倍行距"/>
    <w:basedOn w:val="1"/>
    <w:link w:val="21"/>
    <w:qFormat/>
    <w:uiPriority w:val="0"/>
    <w:pPr>
      <w:spacing w:line="360" w:lineRule="auto"/>
      <w:ind w:firstLine="480" w:firstLineChars="200"/>
    </w:pPr>
    <w:rPr>
      <w:sz w:val="24"/>
      <w:szCs w:val="20"/>
    </w:rPr>
  </w:style>
  <w:style w:type="character" w:customStyle="1" w:styleId="23">
    <w:name w:val="font41"/>
    <w:qFormat/>
    <w:uiPriority w:val="0"/>
    <w:rPr>
      <w:rFonts w:hint="eastAsia" w:ascii="宋体" w:hAnsi="宋体" w:eastAsia="宋体" w:cs="宋体"/>
      <w:b/>
      <w:color w:val="000000"/>
      <w:sz w:val="21"/>
      <w:szCs w:val="21"/>
      <w:u w:val="none"/>
    </w:rPr>
  </w:style>
  <w:style w:type="character" w:customStyle="1" w:styleId="24">
    <w:name w:val="font11"/>
    <w:qFormat/>
    <w:uiPriority w:val="0"/>
    <w:rPr>
      <w:rFonts w:hint="eastAsia" w:ascii="宋体" w:hAnsi="宋体" w:eastAsia="宋体" w:cs="宋体"/>
      <w:color w:val="000000"/>
      <w:sz w:val="21"/>
      <w:szCs w:val="21"/>
      <w:u w:val="none"/>
    </w:rPr>
  </w:style>
  <w:style w:type="character" w:customStyle="1" w:styleId="25">
    <w:name w:val="页眉 Char"/>
    <w:link w:val="13"/>
    <w:qFormat/>
    <w:uiPriority w:val="0"/>
    <w:rPr>
      <w:rFonts w:eastAsia="宋体"/>
      <w:kern w:val="2"/>
      <w:sz w:val="18"/>
      <w:szCs w:val="18"/>
      <w:lang w:val="en-US" w:eastAsia="zh-CN" w:bidi="ar-SA"/>
    </w:rPr>
  </w:style>
  <w:style w:type="character" w:customStyle="1" w:styleId="26">
    <w:name w:val="页脚 Char"/>
    <w:link w:val="12"/>
    <w:qFormat/>
    <w:uiPriority w:val="99"/>
    <w:rPr>
      <w:rFonts w:eastAsia="宋体"/>
      <w:kern w:val="2"/>
      <w:sz w:val="18"/>
      <w:szCs w:val="18"/>
      <w:lang w:val="en-US" w:eastAsia="zh-CN" w:bidi="ar-SA"/>
    </w:rPr>
  </w:style>
  <w:style w:type="character" w:customStyle="1" w:styleId="27">
    <w:name w:val="headline-content"/>
    <w:basedOn w:val="16"/>
    <w:qFormat/>
    <w:uiPriority w:val="0"/>
  </w:style>
  <w:style w:type="character" w:customStyle="1" w:styleId="28">
    <w:name w:val="font01"/>
    <w:qFormat/>
    <w:uiPriority w:val="0"/>
    <w:rPr>
      <w:rFonts w:hint="default" w:ascii="Calibri" w:hAnsi="Calibri" w:cs="Calibri"/>
      <w:color w:val="000000"/>
      <w:sz w:val="21"/>
      <w:szCs w:val="21"/>
      <w:u w:val="none"/>
    </w:rPr>
  </w:style>
  <w:style w:type="character" w:customStyle="1" w:styleId="29">
    <w:name w:val="font21"/>
    <w:qFormat/>
    <w:uiPriority w:val="0"/>
    <w:rPr>
      <w:rFonts w:hint="eastAsia" w:ascii="宋体" w:hAnsi="宋体" w:eastAsia="宋体" w:cs="宋体"/>
      <w:b/>
      <w:color w:val="000000"/>
      <w:sz w:val="21"/>
      <w:szCs w:val="21"/>
      <w:u w:val="none"/>
    </w:rPr>
  </w:style>
  <w:style w:type="character" w:customStyle="1" w:styleId="30">
    <w:name w:val="font31"/>
    <w:qFormat/>
    <w:uiPriority w:val="0"/>
    <w:rPr>
      <w:rFonts w:hint="default" w:ascii="Times New Roman" w:hAnsi="Times New Roman" w:cs="Times New Roman"/>
      <w:b/>
      <w:color w:val="000000"/>
      <w:sz w:val="21"/>
      <w:szCs w:val="21"/>
      <w:u w:val="none"/>
    </w:rPr>
  </w:style>
  <w:style w:type="paragraph" w:customStyle="1" w:styleId="31">
    <w:name w:val="样式 标题 2我的标题 2标题 2 Char节节标题 1.11.1标题 21.1_Heading 21标21..."/>
    <w:basedOn w:val="4"/>
    <w:qFormat/>
    <w:uiPriority w:val="0"/>
    <w:pPr>
      <w:keepNext w:val="0"/>
      <w:tabs>
        <w:tab w:val="left" w:pos="360"/>
      </w:tabs>
      <w:spacing w:before="240" w:after="0" w:line="300" w:lineRule="auto"/>
      <w:ind w:left="567" w:hanging="567"/>
      <w:jc w:val="left"/>
      <w:textAlignment w:val="baseline"/>
    </w:pPr>
    <w:rPr>
      <w:rFonts w:hint="eastAsia" w:ascii="Times New Roman" w:hAnsi="Times New Roman" w:eastAsia="宋体"/>
    </w:rPr>
  </w:style>
  <w:style w:type="paragraph" w:customStyle="1" w:styleId="32">
    <w:name w:val="表体宋旭峰"/>
    <w:basedOn w:val="1"/>
    <w:qFormat/>
    <w:uiPriority w:val="0"/>
    <w:pPr>
      <w:overflowPunct w:val="0"/>
      <w:spacing w:line="280" w:lineRule="atLeast"/>
      <w:jc w:val="center"/>
      <w:textAlignment w:val="baseline"/>
    </w:pPr>
    <w:rPr>
      <w:rFonts w:ascii="宋体" w:hAnsi="Courier New" w:cs="Courier New"/>
      <w:snapToGrid w:val="0"/>
      <w:kern w:val="24"/>
      <w:szCs w:val="21"/>
    </w:rPr>
  </w:style>
  <w:style w:type="paragraph" w:customStyle="1" w:styleId="33">
    <w:name w:val="样式 小四 黑色 行距: 1.5 倍行距 首行缩进:  2 字符"/>
    <w:basedOn w:val="1"/>
    <w:qFormat/>
    <w:uiPriority w:val="0"/>
    <w:pPr>
      <w:spacing w:line="360" w:lineRule="auto"/>
      <w:ind w:firstLine="480" w:firstLineChars="200"/>
    </w:pPr>
    <w:rPr>
      <w:rFonts w:cs="宋体"/>
      <w:color w:val="000000"/>
      <w:sz w:val="24"/>
      <w:szCs w:val="20"/>
    </w:rPr>
  </w:style>
  <w:style w:type="paragraph" w:customStyle="1" w:styleId="34">
    <w:name w:val="正文(首行缩进)宋旭峰"/>
    <w:basedOn w:val="7"/>
    <w:qFormat/>
    <w:uiPriority w:val="0"/>
    <w:pPr>
      <w:spacing w:beforeLines="50" w:afterLines="50" w:line="360" w:lineRule="auto"/>
      <w:ind w:firstLine="480"/>
      <w:contextualSpacing/>
    </w:pPr>
    <w:rPr>
      <w:kern w:val="0"/>
      <w:sz w:val="24"/>
    </w:rPr>
  </w:style>
  <w:style w:type="paragraph" w:customStyle="1" w:styleId="35">
    <w:name w:val="样式 正文文本btcontentsbody text?y????×??y?????y?????????正文文字 ..."/>
    <w:basedOn w:val="8"/>
    <w:uiPriority w:val="0"/>
    <w:pPr>
      <w:autoSpaceDE w:val="0"/>
      <w:autoSpaceDN w:val="0"/>
      <w:adjustRightInd w:val="0"/>
      <w:spacing w:after="0" w:line="360" w:lineRule="auto"/>
      <w:ind w:firstLine="480" w:firstLineChars="200"/>
      <w:textAlignment w:val="baseline"/>
    </w:pPr>
    <w:rPr>
      <w:rFonts w:cs="宋体"/>
      <w:sz w:val="24"/>
    </w:rPr>
  </w:style>
  <w:style w:type="paragraph" w:customStyle="1" w:styleId="36">
    <w:name w:val="正文(首行缩进)"/>
    <w:basedOn w:val="7"/>
    <w:qFormat/>
    <w:uiPriority w:val="0"/>
    <w:pPr>
      <w:spacing w:line="360" w:lineRule="auto"/>
      <w:ind w:firstLine="480"/>
    </w:pPr>
    <w:rPr>
      <w:kern w:val="0"/>
      <w:sz w:val="24"/>
    </w:rPr>
  </w:style>
  <w:style w:type="paragraph" w:customStyle="1" w:styleId="37">
    <w:name w:val="表格文字"/>
    <w:link w:val="38"/>
    <w:qFormat/>
    <w:uiPriority w:val="0"/>
    <w:pPr>
      <w:widowControl w:val="0"/>
      <w:autoSpaceDE w:val="0"/>
      <w:autoSpaceDN w:val="0"/>
      <w:adjustRightInd w:val="0"/>
      <w:jc w:val="center"/>
      <w:textAlignment w:val="baseline"/>
    </w:pPr>
    <w:rPr>
      <w:rFonts w:ascii="宋体" w:hAnsi="Times New Roman" w:eastAsia="宋体" w:cs="Times New Roman"/>
      <w:color w:val="000000"/>
      <w:sz w:val="21"/>
      <w:lang w:val="en-US" w:eastAsia="zh-CN" w:bidi="ar-SA"/>
    </w:rPr>
  </w:style>
  <w:style w:type="character" w:customStyle="1" w:styleId="38">
    <w:name w:val="表格文字 Char"/>
    <w:link w:val="37"/>
    <w:qFormat/>
    <w:uiPriority w:val="0"/>
    <w:rPr>
      <w:rFonts w:ascii="宋体"/>
      <w:color w:val="000000"/>
      <w:sz w:val="21"/>
      <w:lang w:bidi="ar-SA"/>
    </w:rPr>
  </w:style>
  <w:style w:type="paragraph" w:customStyle="1" w:styleId="39">
    <w:name w:val="表格文字2"/>
    <w:basedOn w:val="37"/>
    <w:qFormat/>
    <w:uiPriority w:val="0"/>
    <w:pPr>
      <w:autoSpaceDE/>
      <w:autoSpaceDN/>
      <w:spacing w:before="60"/>
    </w:pPr>
    <w:rPr>
      <w:color w:val="auto"/>
    </w:rPr>
  </w:style>
  <w:style w:type="paragraph" w:customStyle="1" w:styleId="40">
    <w:name w:val="Char4 Char Char Char Char Char Char1"/>
    <w:basedOn w:val="1"/>
    <w:qFormat/>
    <w:uiPriority w:val="0"/>
    <w:pPr>
      <w:spacing w:line="360" w:lineRule="auto"/>
      <w:ind w:firstLine="200" w:firstLineChars="200"/>
    </w:pPr>
    <w:rPr>
      <w:rFonts w:ascii="宋体" w:hAnsi="宋体" w:cs="宋体"/>
      <w:sz w:val="24"/>
    </w:rPr>
  </w:style>
  <w:style w:type="character" w:customStyle="1" w:styleId="41">
    <w:name w:val="标题 1 Char"/>
    <w:link w:val="2"/>
    <w:qFormat/>
    <w:uiPriority w:val="0"/>
    <w:rPr>
      <w:b/>
      <w:color w:val="000000"/>
      <w:kern w:val="44"/>
      <w:sz w:val="36"/>
      <w:szCs w:val="36"/>
    </w:rPr>
  </w:style>
  <w:style w:type="character" w:customStyle="1" w:styleId="42">
    <w:name w:val="标题 4 Char"/>
    <w:link w:val="6"/>
    <w:qFormat/>
    <w:uiPriority w:val="0"/>
    <w:rPr>
      <w:rFonts w:hAnsi="黑体" w:eastAsia="黑体"/>
      <w:color w:val="000000"/>
      <w:sz w:val="28"/>
      <w:szCs w:val="28"/>
    </w:rPr>
  </w:style>
  <w:style w:type="character" w:customStyle="1" w:styleId="43">
    <w:name w:val="标题 Char"/>
    <w:link w:val="3"/>
    <w:qFormat/>
    <w:uiPriority w:val="0"/>
    <w:rPr>
      <w:rFonts w:ascii="Cambria" w:hAnsi="Cambria" w:cs="Times New Roman"/>
      <w:b/>
      <w:bCs/>
      <w:kern w:val="2"/>
      <w:sz w:val="32"/>
      <w:szCs w:val="32"/>
    </w:rPr>
  </w:style>
  <w:style w:type="paragraph" w:customStyle="1" w:styleId="44">
    <w:name w:val="Table Paragraph"/>
    <w:basedOn w:val="1"/>
    <w:qFormat/>
    <w:uiPriority w:val="1"/>
    <w:pPr>
      <w:autoSpaceDE w:val="0"/>
      <w:autoSpaceDN w:val="0"/>
      <w:adjustRightInd w:val="0"/>
      <w:jc w:val="left"/>
    </w:pPr>
    <w:rPr>
      <w:kern w:val="0"/>
      <w:sz w:val="24"/>
    </w:rPr>
  </w:style>
  <w:style w:type="paragraph" w:styleId="45">
    <w:name w:val="List Paragraph"/>
    <w:basedOn w:val="1"/>
    <w:qFormat/>
    <w:uiPriority w:val="0"/>
    <w:pPr>
      <w:widowControl/>
      <w:spacing w:after="200" w:line="252" w:lineRule="auto"/>
      <w:ind w:left="720"/>
      <w:contextualSpacing/>
      <w:jc w:val="left"/>
    </w:pPr>
    <w:rPr>
      <w:rFonts w:ascii="Cambria" w:hAnsi="Cambria"/>
      <w:kern w:val="0"/>
      <w:sz w:val="22"/>
      <w:szCs w:val="22"/>
      <w:lang w:eastAsia="en-US" w:bidi="en-US"/>
    </w:rPr>
  </w:style>
  <w:style w:type="character" w:customStyle="1" w:styleId="46">
    <w:name w:val="批注框文本 Char"/>
    <w:basedOn w:val="16"/>
    <w:link w:val="11"/>
    <w:semiHidden/>
    <w:qFormat/>
    <w:uiPriority w:val="0"/>
    <w:rPr>
      <w:kern w:val="2"/>
      <w:sz w:val="18"/>
      <w:szCs w:val="18"/>
    </w:rPr>
  </w:style>
  <w:style w:type="character" w:customStyle="1" w:styleId="47">
    <w:name w:val="标题 3 Char"/>
    <w:basedOn w:val="16"/>
    <w:link w:val="5"/>
    <w:uiPriority w:val="0"/>
    <w:rPr>
      <w:rFonts w:ascii="宋体" w:hAnsi="宋体" w:cs="宋体"/>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jpe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Pages>
  <Words>2933</Words>
  <Characters>16719</Characters>
  <Lines>139</Lines>
  <Paragraphs>39</Paragraphs>
  <TotalTime>172</TotalTime>
  <ScaleCrop>false</ScaleCrop>
  <LinksUpToDate>false</LinksUpToDate>
  <CharactersWithSpaces>19613</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2015-03-05T02:08:00Z</dcterms:created>
  <dc:creator>Administrator</dc:creator>
  <cp:lastModifiedBy>宏昇药业-任鸿卫</cp:lastModifiedBy>
  <cp:lastPrinted>2017-05-18T07:12:00Z</cp:lastPrinted>
  <dcterms:modified xsi:type="dcterms:W3CDTF">2019-01-16T05:48:05Z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